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1" w:type="dxa"/>
        <w:tblCellMar>
          <w:left w:w="0" w:type="dxa"/>
          <w:right w:w="0" w:type="dxa"/>
        </w:tblCellMar>
        <w:tblLook w:val="0000"/>
      </w:tblPr>
      <w:tblGrid>
        <w:gridCol w:w="1627"/>
        <w:gridCol w:w="7504"/>
      </w:tblGrid>
      <w:tr w:rsidR="00860443" w:rsidRPr="000B219B" w:rsidTr="00992359">
        <w:trPr>
          <w:trHeight w:val="1073"/>
        </w:trPr>
        <w:tc>
          <w:tcPr>
            <w:tcW w:w="9131" w:type="dxa"/>
            <w:gridSpan w:val="2"/>
            <w:vAlign w:val="center"/>
          </w:tcPr>
          <w:p w:rsidR="00860443" w:rsidRPr="000B219B" w:rsidRDefault="00E7197F" w:rsidP="00992359">
            <w:pPr>
              <w:spacing w:after="0"/>
              <w:jc w:val="center"/>
              <w:rPr>
                <w:sz w:val="24"/>
                <w:szCs w:val="24"/>
              </w:rPr>
            </w:pPr>
            <w:r>
              <w:rPr>
                <w:noProof/>
                <w:lang w:val="el-GR" w:eastAsia="el-GR"/>
              </w:rPr>
              <w:drawing>
                <wp:inline distT="0" distB="0" distL="0" distR="0">
                  <wp:extent cx="704850" cy="704850"/>
                  <wp:effectExtent l="19050" t="0" r="0" b="0"/>
                  <wp:docPr id="1" name="Picture 2" descr="Description: Description: SEA PROT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EA PROT final 2"/>
                          <pic:cNvPicPr>
                            <a:picLocks noChangeAspect="1" noChangeArrowheads="1"/>
                          </pic:cNvPicPr>
                        </pic:nvPicPr>
                        <pic:blipFill>
                          <a:blip r:embed="rId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r>
      <w:tr w:rsidR="00860443" w:rsidRPr="00790F06" w:rsidTr="00992359">
        <w:trPr>
          <w:trHeight w:val="848"/>
        </w:trPr>
        <w:tc>
          <w:tcPr>
            <w:tcW w:w="9131" w:type="dxa"/>
            <w:gridSpan w:val="2"/>
            <w:tcBorders>
              <w:top w:val="nil"/>
              <w:left w:val="nil"/>
              <w:bottom w:val="nil"/>
              <w:right w:val="nil"/>
            </w:tcBorders>
          </w:tcPr>
          <w:p w:rsidR="00860443" w:rsidRPr="00790F06" w:rsidRDefault="00860443" w:rsidP="00992359">
            <w:pPr>
              <w:spacing w:before="120"/>
              <w:jc w:val="center"/>
              <w:rPr>
                <w:b/>
                <w:sz w:val="28"/>
                <w:szCs w:val="28"/>
              </w:rPr>
            </w:pPr>
            <w:r w:rsidRPr="00790F06">
              <w:rPr>
                <w:b/>
                <w:sz w:val="28"/>
                <w:szCs w:val="28"/>
              </w:rPr>
              <w:t>Marine Strategy Framework Directive (MSFD)</w:t>
            </w:r>
          </w:p>
          <w:p w:rsidR="00860443" w:rsidRPr="00790F06" w:rsidRDefault="00860443" w:rsidP="00992359">
            <w:pPr>
              <w:spacing w:before="120"/>
              <w:jc w:val="center"/>
              <w:rPr>
                <w:i/>
                <w:sz w:val="28"/>
                <w:szCs w:val="28"/>
              </w:rPr>
            </w:pPr>
            <w:r w:rsidRPr="00790F06">
              <w:rPr>
                <w:b/>
                <w:i/>
                <w:sz w:val="28"/>
                <w:szCs w:val="28"/>
              </w:rPr>
              <w:t>Common Implementation Strategy</w:t>
            </w:r>
          </w:p>
        </w:tc>
      </w:tr>
      <w:tr w:rsidR="00860443" w:rsidRPr="00156AF7" w:rsidTr="00992359">
        <w:trPr>
          <w:trHeight w:val="911"/>
        </w:trPr>
        <w:tc>
          <w:tcPr>
            <w:tcW w:w="9131" w:type="dxa"/>
            <w:gridSpan w:val="2"/>
          </w:tcPr>
          <w:p w:rsidR="00860443" w:rsidRDefault="00860443" w:rsidP="00992359">
            <w:pPr>
              <w:spacing w:after="0"/>
              <w:jc w:val="center"/>
              <w:rPr>
                <w:b/>
                <w:sz w:val="24"/>
                <w:szCs w:val="24"/>
              </w:rPr>
            </w:pPr>
            <w:r>
              <w:rPr>
                <w:b/>
                <w:sz w:val="24"/>
                <w:szCs w:val="24"/>
              </w:rPr>
              <w:t>1</w:t>
            </w:r>
            <w:r w:rsidR="00B44ADF">
              <w:rPr>
                <w:b/>
                <w:sz w:val="24"/>
                <w:szCs w:val="24"/>
              </w:rPr>
              <w:t>2</w:t>
            </w:r>
            <w:r w:rsidRPr="00C54B46">
              <w:rPr>
                <w:b/>
                <w:sz w:val="24"/>
                <w:szCs w:val="24"/>
                <w:vertAlign w:val="superscript"/>
              </w:rPr>
              <w:t>th</w:t>
            </w:r>
            <w:r>
              <w:rPr>
                <w:b/>
                <w:sz w:val="24"/>
                <w:szCs w:val="24"/>
              </w:rPr>
              <w:t xml:space="preserve"> </w:t>
            </w:r>
            <w:r w:rsidRPr="00092E01">
              <w:rPr>
                <w:b/>
                <w:sz w:val="24"/>
                <w:szCs w:val="24"/>
              </w:rPr>
              <w:t>meeting of the</w:t>
            </w:r>
            <w:r>
              <w:rPr>
                <w:b/>
                <w:sz w:val="24"/>
                <w:szCs w:val="24"/>
              </w:rPr>
              <w:br/>
            </w:r>
            <w:r w:rsidRPr="00092E01">
              <w:rPr>
                <w:b/>
                <w:sz w:val="24"/>
                <w:szCs w:val="24"/>
              </w:rPr>
              <w:t>Working Group on Data, Information and Knowledge Exchange (WG DIKE)</w:t>
            </w:r>
          </w:p>
          <w:p w:rsidR="00860443" w:rsidRDefault="00860443" w:rsidP="00992359">
            <w:pPr>
              <w:spacing w:after="0"/>
              <w:jc w:val="center"/>
              <w:rPr>
                <w:sz w:val="20"/>
                <w:szCs w:val="20"/>
              </w:rPr>
            </w:pPr>
          </w:p>
          <w:p w:rsidR="00860443" w:rsidRPr="00156AF7" w:rsidRDefault="00860443" w:rsidP="00992359">
            <w:pPr>
              <w:spacing w:after="0"/>
              <w:jc w:val="center"/>
              <w:rPr>
                <w:b/>
                <w:i/>
                <w:sz w:val="20"/>
                <w:szCs w:val="20"/>
              </w:rPr>
            </w:pPr>
            <w:r w:rsidRPr="00156AF7">
              <w:rPr>
                <w:b/>
                <w:i/>
                <w:sz w:val="20"/>
                <w:szCs w:val="20"/>
              </w:rPr>
              <w:t>0900-17</w:t>
            </w:r>
            <w:r w:rsidR="00B44ADF" w:rsidRPr="00156AF7">
              <w:rPr>
                <w:b/>
                <w:i/>
                <w:sz w:val="20"/>
                <w:szCs w:val="20"/>
              </w:rPr>
              <w:t>3</w:t>
            </w:r>
            <w:r w:rsidRPr="00156AF7">
              <w:rPr>
                <w:b/>
                <w:i/>
                <w:sz w:val="20"/>
                <w:szCs w:val="20"/>
              </w:rPr>
              <w:t>0: 1</w:t>
            </w:r>
            <w:r w:rsidR="00B44ADF" w:rsidRPr="00156AF7">
              <w:rPr>
                <w:b/>
                <w:i/>
                <w:sz w:val="20"/>
                <w:szCs w:val="20"/>
              </w:rPr>
              <w:t>2 October</w:t>
            </w:r>
            <w:r w:rsidRPr="00156AF7">
              <w:rPr>
                <w:b/>
                <w:i/>
                <w:sz w:val="20"/>
                <w:szCs w:val="20"/>
              </w:rPr>
              <w:t xml:space="preserve"> 2015</w:t>
            </w:r>
          </w:p>
          <w:p w:rsidR="00860443" w:rsidRPr="00156AF7" w:rsidRDefault="00860443" w:rsidP="00992359">
            <w:pPr>
              <w:spacing w:after="0"/>
              <w:jc w:val="center"/>
              <w:rPr>
                <w:i/>
                <w:sz w:val="20"/>
                <w:szCs w:val="20"/>
              </w:rPr>
            </w:pPr>
          </w:p>
          <w:p w:rsidR="00860443" w:rsidRPr="00156AF7" w:rsidRDefault="00B44ADF" w:rsidP="00992359">
            <w:pPr>
              <w:spacing w:after="0"/>
              <w:jc w:val="center"/>
              <w:rPr>
                <w:i/>
                <w:sz w:val="20"/>
                <w:szCs w:val="20"/>
              </w:rPr>
            </w:pPr>
            <w:r w:rsidRPr="00855514">
              <w:rPr>
                <w:i/>
                <w:sz w:val="20"/>
                <w:szCs w:val="20"/>
              </w:rPr>
              <w:t>Conference Centre Albert Borschette, Room AB/</w:t>
            </w:r>
            <w:r>
              <w:rPr>
                <w:i/>
                <w:sz w:val="20"/>
                <w:szCs w:val="20"/>
              </w:rPr>
              <w:t>5</w:t>
            </w:r>
            <w:r w:rsidRPr="00855514">
              <w:rPr>
                <w:i/>
                <w:sz w:val="20"/>
                <w:szCs w:val="20"/>
              </w:rPr>
              <w:t>B, Rue Froissart 36, B-1040 Brussels</w:t>
            </w:r>
          </w:p>
          <w:p w:rsidR="00860443" w:rsidRPr="00156AF7" w:rsidRDefault="00860443" w:rsidP="00992359">
            <w:pPr>
              <w:spacing w:after="0"/>
              <w:jc w:val="center"/>
              <w:rPr>
                <w:sz w:val="24"/>
                <w:szCs w:val="24"/>
              </w:rPr>
            </w:pPr>
          </w:p>
        </w:tc>
      </w:tr>
      <w:tr w:rsidR="00860443" w:rsidTr="00992359">
        <w:tblPrEx>
          <w:shd w:val="clear" w:color="auto" w:fill="C0C0C0"/>
          <w:tblCellMar>
            <w:left w:w="108" w:type="dxa"/>
            <w:right w:w="108" w:type="dxa"/>
          </w:tblCellMar>
        </w:tblPrEx>
        <w:tc>
          <w:tcPr>
            <w:tcW w:w="1627" w:type="dxa"/>
            <w:shd w:val="clear" w:color="auto" w:fill="C0C0C0"/>
          </w:tcPr>
          <w:p w:rsidR="00860443" w:rsidRDefault="00860443" w:rsidP="00992359">
            <w:pPr>
              <w:rPr>
                <w:rFonts w:cs="Palatino Linotype"/>
                <w:sz w:val="20"/>
                <w:szCs w:val="20"/>
                <w:lang w:val="en-US" w:eastAsia="de-DE"/>
              </w:rPr>
            </w:pPr>
            <w:r>
              <w:rPr>
                <w:rFonts w:cs="Palatino Linotype"/>
                <w:bCs/>
                <w:sz w:val="20"/>
                <w:szCs w:val="20"/>
                <w:lang w:val="en-US" w:eastAsia="de-DE"/>
              </w:rPr>
              <w:t>Agenda item:</w:t>
            </w:r>
          </w:p>
        </w:tc>
        <w:tc>
          <w:tcPr>
            <w:tcW w:w="7504" w:type="dxa"/>
            <w:shd w:val="clear" w:color="auto" w:fill="C0C0C0"/>
          </w:tcPr>
          <w:p w:rsidR="00860443" w:rsidRDefault="00860443" w:rsidP="00992359">
            <w:pPr>
              <w:rPr>
                <w:rFonts w:cs="Palatino Linotype"/>
                <w:sz w:val="20"/>
                <w:szCs w:val="20"/>
                <w:lang w:val="en-US" w:eastAsia="de-DE"/>
              </w:rPr>
            </w:pPr>
            <w:r>
              <w:rPr>
                <w:rFonts w:cs="Palatino Linotype"/>
                <w:sz w:val="20"/>
                <w:szCs w:val="20"/>
                <w:lang w:val="en-US" w:eastAsia="de-DE"/>
              </w:rPr>
              <w:t>4</w:t>
            </w:r>
          </w:p>
        </w:tc>
      </w:tr>
      <w:tr w:rsidR="00860443" w:rsidTr="00992359">
        <w:tblPrEx>
          <w:shd w:val="clear" w:color="auto" w:fill="C0C0C0"/>
          <w:tblCellMar>
            <w:left w:w="108" w:type="dxa"/>
            <w:right w:w="108" w:type="dxa"/>
          </w:tblCellMar>
        </w:tblPrEx>
        <w:tc>
          <w:tcPr>
            <w:tcW w:w="1627" w:type="dxa"/>
            <w:shd w:val="clear" w:color="auto" w:fill="C0C0C0"/>
          </w:tcPr>
          <w:p w:rsidR="00860443" w:rsidRDefault="00860443" w:rsidP="00992359">
            <w:pPr>
              <w:rPr>
                <w:rFonts w:cs="Palatino Linotype"/>
                <w:sz w:val="20"/>
                <w:szCs w:val="20"/>
                <w:lang w:val="en-US" w:eastAsia="de-DE"/>
              </w:rPr>
            </w:pPr>
            <w:r>
              <w:rPr>
                <w:rFonts w:cs="Palatino Linotype"/>
                <w:sz w:val="20"/>
                <w:szCs w:val="20"/>
                <w:lang w:val="en-US" w:eastAsia="de-DE"/>
              </w:rPr>
              <w:t>Document:</w:t>
            </w:r>
          </w:p>
        </w:tc>
        <w:tc>
          <w:tcPr>
            <w:tcW w:w="7504" w:type="dxa"/>
            <w:shd w:val="clear" w:color="auto" w:fill="C0C0C0"/>
          </w:tcPr>
          <w:p w:rsidR="00860443" w:rsidRDefault="00860443" w:rsidP="00E611B8">
            <w:pPr>
              <w:rPr>
                <w:rFonts w:cs="Palatino Linotype"/>
                <w:sz w:val="20"/>
                <w:szCs w:val="20"/>
                <w:lang w:val="en-US" w:eastAsia="de-DE"/>
              </w:rPr>
            </w:pPr>
            <w:r>
              <w:rPr>
                <w:sz w:val="20"/>
                <w:szCs w:val="20"/>
              </w:rPr>
              <w:t>DIKE_1</w:t>
            </w:r>
            <w:r w:rsidR="00B44ADF">
              <w:rPr>
                <w:sz w:val="20"/>
                <w:szCs w:val="20"/>
              </w:rPr>
              <w:t>2</w:t>
            </w:r>
            <w:r>
              <w:rPr>
                <w:sz w:val="20"/>
                <w:szCs w:val="20"/>
              </w:rPr>
              <w:t>-2015-0</w:t>
            </w:r>
            <w:r w:rsidR="00E611B8">
              <w:rPr>
                <w:sz w:val="20"/>
                <w:szCs w:val="20"/>
              </w:rPr>
              <w:t>3</w:t>
            </w:r>
          </w:p>
        </w:tc>
      </w:tr>
      <w:tr w:rsidR="00860443" w:rsidTr="00992359">
        <w:tblPrEx>
          <w:shd w:val="clear" w:color="auto" w:fill="C0C0C0"/>
          <w:tblCellMar>
            <w:left w:w="108" w:type="dxa"/>
            <w:right w:w="108" w:type="dxa"/>
          </w:tblCellMar>
        </w:tblPrEx>
        <w:tc>
          <w:tcPr>
            <w:tcW w:w="1627" w:type="dxa"/>
            <w:shd w:val="clear" w:color="auto" w:fill="C0C0C0"/>
          </w:tcPr>
          <w:p w:rsidR="00860443" w:rsidRDefault="00860443" w:rsidP="00992359">
            <w:pPr>
              <w:ind w:left="2"/>
              <w:rPr>
                <w:rFonts w:cs="Palatino Linotype"/>
                <w:sz w:val="20"/>
                <w:szCs w:val="20"/>
                <w:lang w:val="en-US" w:eastAsia="de-DE"/>
              </w:rPr>
            </w:pPr>
            <w:r>
              <w:rPr>
                <w:rFonts w:cs="Palatino Linotype"/>
                <w:sz w:val="20"/>
                <w:szCs w:val="20"/>
                <w:lang w:val="en-US" w:eastAsia="de-DE"/>
              </w:rPr>
              <w:t>Title:</w:t>
            </w:r>
          </w:p>
        </w:tc>
        <w:tc>
          <w:tcPr>
            <w:tcW w:w="7504" w:type="dxa"/>
            <w:shd w:val="clear" w:color="auto" w:fill="C0C0C0"/>
          </w:tcPr>
          <w:p w:rsidR="00860443" w:rsidRPr="00AD5C13" w:rsidRDefault="00E611B8" w:rsidP="00E611B8">
            <w:pPr>
              <w:rPr>
                <w:rFonts w:cs="Palatino Linotype"/>
                <w:sz w:val="20"/>
                <w:szCs w:val="20"/>
                <w:lang w:eastAsia="de-DE"/>
              </w:rPr>
            </w:pPr>
            <w:r>
              <w:rPr>
                <w:sz w:val="20"/>
                <w:szCs w:val="36"/>
              </w:rPr>
              <w:t>W</w:t>
            </w:r>
            <w:r w:rsidR="00417913">
              <w:rPr>
                <w:sz w:val="20"/>
                <w:szCs w:val="36"/>
              </w:rPr>
              <w:t xml:space="preserve">eb form </w:t>
            </w:r>
            <w:r>
              <w:rPr>
                <w:sz w:val="20"/>
                <w:szCs w:val="36"/>
              </w:rPr>
              <w:t>guide</w:t>
            </w:r>
          </w:p>
        </w:tc>
      </w:tr>
      <w:tr w:rsidR="00860443" w:rsidRPr="0096660B" w:rsidTr="00992359">
        <w:tblPrEx>
          <w:shd w:val="clear" w:color="auto" w:fill="C0C0C0"/>
          <w:tblCellMar>
            <w:left w:w="108" w:type="dxa"/>
            <w:right w:w="108" w:type="dxa"/>
          </w:tblCellMar>
        </w:tblPrEx>
        <w:tc>
          <w:tcPr>
            <w:tcW w:w="1627" w:type="dxa"/>
            <w:shd w:val="clear" w:color="auto" w:fill="C0C0C0"/>
          </w:tcPr>
          <w:p w:rsidR="00860443" w:rsidRPr="0096660B" w:rsidRDefault="00860443" w:rsidP="00992359">
            <w:pPr>
              <w:rPr>
                <w:rFonts w:cs="Palatino Linotype"/>
                <w:sz w:val="20"/>
                <w:szCs w:val="20"/>
                <w:lang w:val="en-US" w:eastAsia="de-DE"/>
              </w:rPr>
            </w:pPr>
            <w:r w:rsidRPr="0096660B">
              <w:rPr>
                <w:rFonts w:cs="Palatino Linotype"/>
                <w:sz w:val="20"/>
                <w:szCs w:val="20"/>
                <w:lang w:val="en-US" w:eastAsia="de-DE"/>
              </w:rPr>
              <w:t>Prepared by:</w:t>
            </w:r>
          </w:p>
        </w:tc>
        <w:tc>
          <w:tcPr>
            <w:tcW w:w="7504" w:type="dxa"/>
            <w:shd w:val="clear" w:color="auto" w:fill="C0C0C0"/>
          </w:tcPr>
          <w:p w:rsidR="00860443" w:rsidRPr="0096660B" w:rsidRDefault="00417913" w:rsidP="00992359">
            <w:pPr>
              <w:rPr>
                <w:sz w:val="20"/>
                <w:szCs w:val="20"/>
              </w:rPr>
            </w:pPr>
            <w:r>
              <w:rPr>
                <w:sz w:val="20"/>
                <w:szCs w:val="20"/>
              </w:rPr>
              <w:t>Atkins</w:t>
            </w:r>
          </w:p>
        </w:tc>
      </w:tr>
      <w:tr w:rsidR="00860443" w:rsidTr="00992359">
        <w:tblPrEx>
          <w:shd w:val="clear" w:color="auto" w:fill="C0C0C0"/>
          <w:tblCellMar>
            <w:left w:w="108" w:type="dxa"/>
            <w:right w:w="108" w:type="dxa"/>
          </w:tblCellMar>
        </w:tblPrEx>
        <w:tc>
          <w:tcPr>
            <w:tcW w:w="1627" w:type="dxa"/>
            <w:shd w:val="clear" w:color="auto" w:fill="C0C0C0"/>
          </w:tcPr>
          <w:p w:rsidR="00860443" w:rsidRDefault="00860443" w:rsidP="00992359">
            <w:pPr>
              <w:rPr>
                <w:rFonts w:cs="Palatino Linotype"/>
                <w:sz w:val="20"/>
                <w:szCs w:val="20"/>
                <w:lang w:val="en-US" w:eastAsia="de-DE"/>
              </w:rPr>
            </w:pPr>
            <w:r>
              <w:rPr>
                <w:rFonts w:cs="Palatino Linotype"/>
                <w:sz w:val="20"/>
                <w:szCs w:val="20"/>
                <w:lang w:val="en-US" w:eastAsia="de-DE"/>
              </w:rPr>
              <w:t>Date prepared:</w:t>
            </w:r>
          </w:p>
        </w:tc>
        <w:tc>
          <w:tcPr>
            <w:tcW w:w="7504" w:type="dxa"/>
            <w:shd w:val="clear" w:color="auto" w:fill="C0C0C0"/>
          </w:tcPr>
          <w:p w:rsidR="00860443" w:rsidRDefault="00077F55" w:rsidP="00077F55">
            <w:pPr>
              <w:rPr>
                <w:rFonts w:cs="Palatino Linotype"/>
                <w:sz w:val="20"/>
                <w:szCs w:val="20"/>
                <w:lang w:val="en-US" w:eastAsia="de-DE"/>
              </w:rPr>
            </w:pPr>
            <w:r>
              <w:rPr>
                <w:rFonts w:cs="Palatino Linotype"/>
                <w:sz w:val="20"/>
                <w:szCs w:val="20"/>
                <w:lang w:val="en-US" w:eastAsia="de-DE"/>
              </w:rPr>
              <w:t>25</w:t>
            </w:r>
            <w:r w:rsidR="00860443" w:rsidRPr="00AD5C13">
              <w:rPr>
                <w:rFonts w:cs="Palatino Linotype"/>
                <w:sz w:val="20"/>
                <w:szCs w:val="20"/>
                <w:lang w:val="en-US" w:eastAsia="de-DE"/>
              </w:rPr>
              <w:t>/</w:t>
            </w:r>
            <w:r>
              <w:rPr>
                <w:rFonts w:cs="Palatino Linotype"/>
                <w:sz w:val="20"/>
                <w:szCs w:val="20"/>
                <w:lang w:val="en-US" w:eastAsia="de-DE"/>
              </w:rPr>
              <w:t>09</w:t>
            </w:r>
            <w:r w:rsidR="00860443" w:rsidRPr="00860443">
              <w:rPr>
                <w:rFonts w:cs="Palatino Linotype"/>
                <w:sz w:val="20"/>
                <w:szCs w:val="20"/>
                <w:lang w:val="en-US" w:eastAsia="de-DE"/>
              </w:rPr>
              <w:t>/</w:t>
            </w:r>
            <w:r w:rsidR="00860443">
              <w:rPr>
                <w:rFonts w:cs="Palatino Linotype"/>
                <w:sz w:val="20"/>
                <w:szCs w:val="20"/>
                <w:lang w:val="en-US" w:eastAsia="de-DE"/>
              </w:rPr>
              <w:t>2015</w:t>
            </w:r>
          </w:p>
        </w:tc>
      </w:tr>
      <w:tr w:rsidR="00860443" w:rsidRPr="00860443" w:rsidTr="00992359">
        <w:tblPrEx>
          <w:shd w:val="clear" w:color="auto" w:fill="C0C0C0"/>
          <w:tblCellMar>
            <w:left w:w="108" w:type="dxa"/>
            <w:right w:w="108" w:type="dxa"/>
          </w:tblCellMar>
        </w:tblPrEx>
        <w:tc>
          <w:tcPr>
            <w:tcW w:w="1627" w:type="dxa"/>
            <w:shd w:val="clear" w:color="auto" w:fill="C0C0C0"/>
          </w:tcPr>
          <w:p w:rsidR="00860443" w:rsidRPr="00860443" w:rsidRDefault="00860443" w:rsidP="00992359">
            <w:pPr>
              <w:spacing w:before="120"/>
              <w:rPr>
                <w:rFonts w:cs="Palatino Linotype"/>
                <w:sz w:val="20"/>
                <w:szCs w:val="20"/>
                <w:lang w:val="en-US" w:eastAsia="de-DE"/>
              </w:rPr>
            </w:pPr>
            <w:r w:rsidRPr="00860443">
              <w:rPr>
                <w:rFonts w:cs="Palatino Linotype"/>
                <w:sz w:val="20"/>
                <w:szCs w:val="20"/>
                <w:lang w:val="en-US" w:eastAsia="de-DE"/>
              </w:rPr>
              <w:t>Background:</w:t>
            </w:r>
          </w:p>
        </w:tc>
        <w:tc>
          <w:tcPr>
            <w:tcW w:w="7504" w:type="dxa"/>
            <w:shd w:val="clear" w:color="auto" w:fill="C0C0C0"/>
          </w:tcPr>
          <w:p w:rsidR="007739E2" w:rsidRPr="00860443" w:rsidRDefault="00E611B8" w:rsidP="00E611B8">
            <w:pPr>
              <w:rPr>
                <w:sz w:val="20"/>
                <w:szCs w:val="20"/>
              </w:rPr>
            </w:pPr>
            <w:r>
              <w:rPr>
                <w:sz w:val="20"/>
                <w:szCs w:val="20"/>
              </w:rPr>
              <w:t>This paper provides a guide on how to use the</w:t>
            </w:r>
            <w:r w:rsidR="00873F14">
              <w:rPr>
                <w:sz w:val="20"/>
                <w:szCs w:val="20"/>
              </w:rPr>
              <w:t xml:space="preserve"> web form application</w:t>
            </w:r>
            <w:r w:rsidR="00417913">
              <w:rPr>
                <w:sz w:val="20"/>
                <w:szCs w:val="20"/>
              </w:rPr>
              <w:t xml:space="preserve"> for reporting on MSFD Art. 13 and 14.</w:t>
            </w:r>
          </w:p>
        </w:tc>
      </w:tr>
    </w:tbl>
    <w:p w:rsidR="00860443" w:rsidRDefault="00860443" w:rsidP="00860443"/>
    <w:p w:rsidR="00860443" w:rsidRPr="003C54D0" w:rsidRDefault="00860443" w:rsidP="00860443">
      <w:pPr>
        <w:rPr>
          <w:b/>
        </w:rPr>
      </w:pPr>
      <w:r w:rsidRPr="003C54D0">
        <w:rPr>
          <w:b/>
        </w:rPr>
        <w:t>WG DIKE is invited to:</w:t>
      </w:r>
    </w:p>
    <w:p w:rsidR="00F44D33" w:rsidRDefault="00417913" w:rsidP="00417913">
      <w:pPr>
        <w:numPr>
          <w:ilvl w:val="0"/>
          <w:numId w:val="31"/>
        </w:numPr>
        <w:spacing w:after="200" w:line="264" w:lineRule="auto"/>
      </w:pPr>
      <w:r>
        <w:t>Note</w:t>
      </w:r>
      <w:r w:rsidR="00E611B8">
        <w:t xml:space="preserve"> and make use of</w:t>
      </w:r>
      <w:r>
        <w:t xml:space="preserve"> the web form </w:t>
      </w:r>
      <w:r w:rsidR="00E611B8">
        <w:t>guide</w:t>
      </w:r>
      <w:r>
        <w:t>.</w:t>
      </w:r>
    </w:p>
    <w:p w:rsidR="00D801B0" w:rsidRPr="002459B8" w:rsidRDefault="00860443" w:rsidP="00750DA5">
      <w:pPr>
        <w:spacing w:after="0"/>
        <w:rPr>
          <w:b/>
          <w:sz w:val="56"/>
          <w:szCs w:val="56"/>
        </w:rPr>
      </w:pPr>
      <w:r>
        <w:br w:type="page"/>
      </w:r>
      <w:bookmarkStart w:id="0" w:name="_Toc384023504"/>
      <w:bookmarkEnd w:id="0"/>
    </w:p>
    <w:p w:rsidR="00D801B0" w:rsidRPr="002459B8" w:rsidRDefault="00D801B0" w:rsidP="00750DA5">
      <w:pPr>
        <w:spacing w:after="0"/>
        <w:rPr>
          <w:b/>
          <w:sz w:val="56"/>
          <w:szCs w:val="56"/>
        </w:rPr>
      </w:pPr>
    </w:p>
    <w:p w:rsidR="00D801B0" w:rsidRPr="002459B8" w:rsidRDefault="00D801B0" w:rsidP="00750DA5">
      <w:pPr>
        <w:spacing w:after="0"/>
        <w:rPr>
          <w:b/>
          <w:sz w:val="56"/>
          <w:szCs w:val="56"/>
        </w:rPr>
      </w:pPr>
    </w:p>
    <w:p w:rsidR="00D801B0" w:rsidRDefault="00D801B0" w:rsidP="00750DA5">
      <w:pPr>
        <w:pStyle w:val="Text"/>
      </w:pPr>
    </w:p>
    <w:tbl>
      <w:tblPr>
        <w:tblW w:w="4417" w:type="dxa"/>
        <w:tblInd w:w="4786" w:type="dxa"/>
        <w:tblLook w:val="01E0"/>
      </w:tblPr>
      <w:tblGrid>
        <w:gridCol w:w="4417"/>
      </w:tblGrid>
      <w:tr w:rsidR="00D801B0" w:rsidRPr="00252C38" w:rsidTr="00750DA5">
        <w:trPr>
          <w:trHeight w:val="1884"/>
        </w:trPr>
        <w:tc>
          <w:tcPr>
            <w:tcW w:w="4417" w:type="dxa"/>
          </w:tcPr>
          <w:p w:rsidR="00D801B0" w:rsidRDefault="00D801B0" w:rsidP="00750DA5">
            <w:pPr>
              <w:pStyle w:val="CoverMainTitle"/>
              <w:tabs>
                <w:tab w:val="left" w:pos="780"/>
              </w:tabs>
            </w:pPr>
            <w:bookmarkStart w:id="1" w:name="ProjectTitle1"/>
            <w:bookmarkEnd w:id="1"/>
            <w:r>
              <w:t>Marine Strategy Framework Directive reporting</w:t>
            </w:r>
          </w:p>
        </w:tc>
      </w:tr>
      <w:tr w:rsidR="00D801B0" w:rsidRPr="002459B8" w:rsidTr="00750DA5">
        <w:trPr>
          <w:trHeight w:val="560"/>
        </w:trPr>
        <w:tc>
          <w:tcPr>
            <w:tcW w:w="4417" w:type="dxa"/>
          </w:tcPr>
          <w:p w:rsidR="00D801B0" w:rsidRDefault="00D801B0">
            <w:pPr>
              <w:pStyle w:val="CoverSubTitle"/>
            </w:pPr>
            <w:bookmarkStart w:id="2" w:name="ReportTitle1"/>
            <w:bookmarkEnd w:id="2"/>
            <w:r w:rsidRPr="002459B8">
              <w:t>Webform mini guide</w:t>
            </w:r>
            <w:r>
              <w:t xml:space="preserve"> </w:t>
            </w:r>
          </w:p>
        </w:tc>
      </w:tr>
    </w:tbl>
    <w:p w:rsidR="00D801B0" w:rsidRDefault="00D801B0" w:rsidP="00750DA5">
      <w:pPr>
        <w:pStyle w:val="Text"/>
      </w:pPr>
    </w:p>
    <w:p w:rsidR="00D801B0" w:rsidRPr="002459B8" w:rsidRDefault="00D801B0" w:rsidP="00750DA5">
      <w:pPr>
        <w:spacing w:after="0"/>
        <w:rPr>
          <w:b/>
          <w:sz w:val="56"/>
          <w:szCs w:val="56"/>
        </w:rPr>
      </w:pPr>
    </w:p>
    <w:p w:rsidR="00D801B0" w:rsidRPr="002459B8" w:rsidRDefault="00D801B0" w:rsidP="00750DA5">
      <w:pPr>
        <w:spacing w:after="0"/>
        <w:rPr>
          <w:b/>
          <w:sz w:val="56"/>
          <w:szCs w:val="56"/>
        </w:rPr>
      </w:pPr>
    </w:p>
    <w:p w:rsidR="00D801B0" w:rsidRDefault="00D801B0" w:rsidP="00750DA5">
      <w:pPr>
        <w:spacing w:after="0"/>
        <w:rPr>
          <w:b/>
          <w:sz w:val="56"/>
          <w:szCs w:val="56"/>
        </w:rPr>
      </w:pPr>
      <w:r w:rsidRPr="002459B8">
        <w:rPr>
          <w:b/>
          <w:sz w:val="56"/>
          <w:szCs w:val="56"/>
        </w:rPr>
        <w:t xml:space="preserve">  </w:t>
      </w:r>
      <w:r>
        <w:rPr>
          <w:b/>
          <w:sz w:val="56"/>
          <w:szCs w:val="56"/>
        </w:rPr>
        <w:br w:type="page"/>
      </w:r>
    </w:p>
    <w:tbl>
      <w:tblPr>
        <w:tblW w:w="0" w:type="auto"/>
        <w:tblLayout w:type="fixed"/>
        <w:tblLook w:val="01E0"/>
      </w:tblPr>
      <w:tblGrid>
        <w:gridCol w:w="9854"/>
      </w:tblGrid>
      <w:tr w:rsidR="00D801B0" w:rsidTr="00750DA5">
        <w:trPr>
          <w:trHeight w:val="1985"/>
        </w:trPr>
        <w:tc>
          <w:tcPr>
            <w:tcW w:w="9854" w:type="dxa"/>
          </w:tcPr>
          <w:p w:rsidR="00D801B0" w:rsidRDefault="00D801B0" w:rsidP="00750DA5"/>
          <w:p w:rsidR="00D801B0" w:rsidRDefault="00D801B0" w:rsidP="00750DA5">
            <w:pPr>
              <w:pStyle w:val="QAProjectTitle"/>
              <w:jc w:val="left"/>
            </w:pPr>
            <w:bookmarkStart w:id="3" w:name="ProjectTitle"/>
            <w:bookmarkEnd w:id="3"/>
            <w:r>
              <w:t>Marine Strategy Framework Directive reporting</w:t>
            </w:r>
          </w:p>
          <w:p w:rsidR="00D801B0" w:rsidRDefault="00D801B0" w:rsidP="00750DA5"/>
        </w:tc>
      </w:tr>
      <w:tr w:rsidR="00D801B0" w:rsidTr="00750DA5">
        <w:trPr>
          <w:trHeight w:val="567"/>
        </w:trPr>
        <w:tc>
          <w:tcPr>
            <w:tcW w:w="9854" w:type="dxa"/>
          </w:tcPr>
          <w:p w:rsidR="00D801B0" w:rsidRDefault="00D801B0" w:rsidP="00750DA5"/>
        </w:tc>
      </w:tr>
      <w:tr w:rsidR="00D801B0" w:rsidRPr="002459B8" w:rsidTr="00750DA5">
        <w:trPr>
          <w:trHeight w:val="1985"/>
        </w:trPr>
        <w:tc>
          <w:tcPr>
            <w:tcW w:w="9854" w:type="dxa"/>
          </w:tcPr>
          <w:p w:rsidR="00D801B0" w:rsidRPr="00CA3C66" w:rsidRDefault="00D801B0" w:rsidP="00750DA5">
            <w:pPr>
              <w:rPr>
                <w:lang w:val="en-US"/>
              </w:rPr>
            </w:pPr>
          </w:p>
          <w:p w:rsidR="00D801B0" w:rsidRPr="00CA3C66" w:rsidRDefault="00D801B0" w:rsidP="00750DA5">
            <w:pPr>
              <w:pStyle w:val="QAProjectTitle"/>
              <w:jc w:val="left"/>
              <w:rPr>
                <w:sz w:val="40"/>
                <w:szCs w:val="40"/>
              </w:rPr>
            </w:pPr>
            <w:bookmarkStart w:id="4" w:name="ReportTitle"/>
            <w:bookmarkEnd w:id="4"/>
            <w:r>
              <w:rPr>
                <w:b w:val="0"/>
                <w:sz w:val="40"/>
                <w:szCs w:val="40"/>
              </w:rPr>
              <w:t xml:space="preserve">Webform mini guide </w:t>
            </w:r>
          </w:p>
        </w:tc>
      </w:tr>
      <w:tr w:rsidR="00D801B0" w:rsidRPr="002459B8" w:rsidTr="00750DA5">
        <w:trPr>
          <w:trHeight w:val="567"/>
        </w:trPr>
        <w:tc>
          <w:tcPr>
            <w:tcW w:w="9854" w:type="dxa"/>
          </w:tcPr>
          <w:p w:rsidR="00D801B0" w:rsidRPr="00CA3C66" w:rsidRDefault="00D801B0" w:rsidP="00750DA5">
            <w:pPr>
              <w:rPr>
                <w:lang w:val="en-US"/>
              </w:rPr>
            </w:pPr>
          </w:p>
        </w:tc>
      </w:tr>
      <w:tr w:rsidR="00D801B0" w:rsidTr="00750DA5">
        <w:trPr>
          <w:trHeight w:val="851"/>
        </w:trPr>
        <w:tc>
          <w:tcPr>
            <w:tcW w:w="9854" w:type="dxa"/>
          </w:tcPr>
          <w:p w:rsidR="00D801B0" w:rsidRPr="003D627F" w:rsidRDefault="00D801B0" w:rsidP="00750DA5">
            <w:pPr>
              <w:pStyle w:val="Text"/>
              <w:rPr>
                <w:sz w:val="28"/>
                <w:szCs w:val="28"/>
              </w:rPr>
            </w:pPr>
            <w:bookmarkStart w:id="5" w:name="Date"/>
            <w:bookmarkEnd w:id="5"/>
            <w:r>
              <w:rPr>
                <w:sz w:val="28"/>
                <w:szCs w:val="28"/>
              </w:rPr>
              <w:t xml:space="preserve">Version 1.3 </w:t>
            </w:r>
            <w:r>
              <w:rPr>
                <w:sz w:val="28"/>
                <w:szCs w:val="28"/>
              </w:rPr>
              <w:br/>
              <w:t>September</w:t>
            </w:r>
            <w:r w:rsidRPr="003D627F">
              <w:rPr>
                <w:sz w:val="28"/>
                <w:szCs w:val="28"/>
              </w:rPr>
              <w:t xml:space="preserve"> 20</w:t>
            </w:r>
            <w:r>
              <w:rPr>
                <w:sz w:val="28"/>
                <w:szCs w:val="28"/>
              </w:rPr>
              <w:t>15</w:t>
            </w:r>
          </w:p>
          <w:p w:rsidR="00D801B0" w:rsidRDefault="00D801B0" w:rsidP="00750DA5"/>
        </w:tc>
      </w:tr>
    </w:tbl>
    <w:p w:rsidR="00D801B0" w:rsidRPr="00935ADA" w:rsidRDefault="00D801B0" w:rsidP="00750DA5">
      <w:pPr>
        <w:pStyle w:val="DocHistory"/>
      </w:pPr>
      <w:bookmarkStart w:id="6" w:name="Notice"/>
      <w:bookmarkStart w:id="7" w:name="_Toc111007612"/>
      <w:bookmarkEnd w:id="6"/>
      <w:r w:rsidRPr="00935ADA">
        <w:t>Notice</w:t>
      </w:r>
      <w:bookmarkEnd w:id="7"/>
    </w:p>
    <w:p w:rsidR="00D801B0" w:rsidRPr="00FC471A" w:rsidRDefault="00D801B0" w:rsidP="00750DA5">
      <w:pPr>
        <w:pStyle w:val="BodyText"/>
        <w:rPr>
          <w:lang w:eastAsia="en-GB"/>
        </w:rPr>
      </w:pPr>
      <w:r w:rsidRPr="00FC471A">
        <w:rPr>
          <w:lang w:eastAsia="en-GB"/>
        </w:rPr>
        <w:t xml:space="preserve">This report was produced by </w:t>
      </w:r>
      <w:r>
        <w:rPr>
          <w:i/>
          <w:lang w:eastAsia="en-GB"/>
        </w:rPr>
        <w:t>Atkins Danmark a/s</w:t>
      </w:r>
      <w:r w:rsidRPr="00FC471A">
        <w:rPr>
          <w:lang w:eastAsia="en-GB"/>
        </w:rPr>
        <w:t xml:space="preserve"> for </w:t>
      </w:r>
      <w:r>
        <w:rPr>
          <w:i/>
          <w:lang w:eastAsia="en-GB"/>
        </w:rPr>
        <w:t>The European Commission</w:t>
      </w:r>
      <w:r>
        <w:rPr>
          <w:lang w:eastAsia="en-GB"/>
        </w:rPr>
        <w:t xml:space="preserve"> </w:t>
      </w:r>
      <w:r w:rsidRPr="00FC471A">
        <w:rPr>
          <w:lang w:eastAsia="en-GB"/>
        </w:rPr>
        <w:t xml:space="preserve">for the specific purpose of </w:t>
      </w:r>
      <w:r>
        <w:rPr>
          <w:i/>
          <w:lang w:eastAsia="en-GB"/>
        </w:rPr>
        <w:t>support for MSFD reporting</w:t>
      </w:r>
      <w:r w:rsidRPr="008C1EDE">
        <w:rPr>
          <w:lang w:eastAsia="en-GB"/>
        </w:rPr>
        <w:t>.</w:t>
      </w:r>
      <w:r w:rsidRPr="00FC471A">
        <w:rPr>
          <w:lang w:eastAsia="en-GB"/>
        </w:rPr>
        <w:t xml:space="preserve">  </w:t>
      </w:r>
    </w:p>
    <w:p w:rsidR="00D801B0" w:rsidRDefault="00D801B0" w:rsidP="00750DA5">
      <w:pPr>
        <w:pStyle w:val="BodyText"/>
        <w:rPr>
          <w:lang w:eastAsia="en-GB"/>
        </w:rPr>
      </w:pPr>
      <w:r w:rsidRPr="00FC471A">
        <w:rPr>
          <w:lang w:eastAsia="en-GB"/>
        </w:rPr>
        <w:t xml:space="preserve">This report may not be used by any person other than </w:t>
      </w:r>
      <w:r>
        <w:rPr>
          <w:i/>
          <w:lang w:eastAsia="en-GB"/>
        </w:rPr>
        <w:t>The European Commission</w:t>
      </w:r>
      <w:r w:rsidRPr="00FC471A">
        <w:rPr>
          <w:lang w:eastAsia="en-GB"/>
        </w:rPr>
        <w:t xml:space="preserve"> without </w:t>
      </w:r>
      <w:r>
        <w:rPr>
          <w:i/>
          <w:lang w:eastAsia="en-GB"/>
        </w:rPr>
        <w:t>The Commission’</w:t>
      </w:r>
      <w:r w:rsidRPr="00E53BC3">
        <w:rPr>
          <w:i/>
          <w:lang w:eastAsia="en-GB"/>
        </w:rPr>
        <w:t>s</w:t>
      </w:r>
      <w:r w:rsidRPr="00FC471A">
        <w:rPr>
          <w:lang w:eastAsia="en-GB"/>
        </w:rPr>
        <w:t xml:space="preserve"> express permission.  In any event, Atkins accepts no liability for any costs, liabilities or losses arising as a result of the use of or reliance upon the contents of this report by any person other than</w:t>
      </w:r>
      <w:r>
        <w:rPr>
          <w:lang w:eastAsia="en-GB"/>
        </w:rPr>
        <w:t xml:space="preserve"> </w:t>
      </w:r>
      <w:r w:rsidRPr="00A32525">
        <w:rPr>
          <w:i/>
          <w:lang w:eastAsia="en-GB"/>
        </w:rPr>
        <w:t>the European Commission</w:t>
      </w:r>
      <w:r w:rsidRPr="00FC471A">
        <w:rPr>
          <w:lang w:eastAsia="en-GB"/>
        </w:rPr>
        <w:t>.</w:t>
      </w:r>
    </w:p>
    <w:p w:rsidR="00D801B0" w:rsidRPr="00FC471A" w:rsidRDefault="00D801B0" w:rsidP="00750DA5">
      <w:pPr>
        <w:pStyle w:val="BodyText"/>
        <w:jc w:val="right"/>
        <w:rPr>
          <w:lang w:eastAsia="en-GB"/>
        </w:rPr>
      </w:pPr>
      <w:r>
        <w:rPr>
          <w:lang w:eastAsia="en-GB"/>
        </w:rPr>
        <w:t xml:space="preserve">Atkins </w:t>
      </w:r>
    </w:p>
    <w:p w:rsidR="00D801B0" w:rsidRPr="00935ADA" w:rsidRDefault="00D801B0" w:rsidP="00750DA5">
      <w:pPr>
        <w:pStyle w:val="DocHistory"/>
      </w:pPr>
      <w:bookmarkStart w:id="8" w:name="_Toc111007613"/>
      <w:r w:rsidRPr="00935ADA">
        <w:t>Document History</w:t>
      </w:r>
      <w:bookmarkEnd w:id="8"/>
    </w:p>
    <w:tbl>
      <w:tblPr>
        <w:tblW w:w="9889" w:type="dxa"/>
        <w:tblLayout w:type="fixed"/>
        <w:tblLook w:val="0000"/>
      </w:tblPr>
      <w:tblGrid>
        <w:gridCol w:w="1008"/>
        <w:gridCol w:w="2700"/>
        <w:gridCol w:w="1220"/>
        <w:gridCol w:w="1309"/>
        <w:gridCol w:w="1264"/>
        <w:gridCol w:w="1265"/>
        <w:gridCol w:w="1123"/>
      </w:tblGrid>
      <w:tr w:rsidR="00D801B0" w:rsidRPr="004E25F0" w:rsidTr="00750DA5">
        <w:tc>
          <w:tcPr>
            <w:tcW w:w="1008"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szCs w:val="18"/>
              </w:rPr>
            </w:pPr>
            <w:bookmarkStart w:id="9" w:name="JobNo"/>
            <w:bookmarkEnd w:id="9"/>
            <w:r w:rsidRPr="004E25F0">
              <w:rPr>
                <w:sz w:val="16"/>
                <w:szCs w:val="18"/>
              </w:rPr>
              <w:t>Revision</w:t>
            </w:r>
          </w:p>
        </w:tc>
        <w:tc>
          <w:tcPr>
            <w:tcW w:w="2700"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szCs w:val="18"/>
              </w:rPr>
            </w:pPr>
            <w:r w:rsidRPr="004E25F0">
              <w:rPr>
                <w:sz w:val="16"/>
                <w:szCs w:val="18"/>
              </w:rPr>
              <w:t>Purpose Description</w:t>
            </w:r>
          </w:p>
        </w:tc>
        <w:tc>
          <w:tcPr>
            <w:tcW w:w="1220"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sidRPr="004E25F0">
              <w:rPr>
                <w:sz w:val="16"/>
              </w:rPr>
              <w:t>Originated</w:t>
            </w:r>
          </w:p>
        </w:tc>
        <w:tc>
          <w:tcPr>
            <w:tcW w:w="1309" w:type="dxa"/>
            <w:tcBorders>
              <w:top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sidRPr="004E25F0">
              <w:rPr>
                <w:sz w:val="16"/>
              </w:rPr>
              <w:t>Checked</w:t>
            </w:r>
          </w:p>
        </w:tc>
        <w:tc>
          <w:tcPr>
            <w:tcW w:w="1264"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sidRPr="004E25F0">
              <w:rPr>
                <w:sz w:val="16"/>
              </w:rPr>
              <w:t>Reviewed</w:t>
            </w:r>
          </w:p>
        </w:tc>
        <w:tc>
          <w:tcPr>
            <w:tcW w:w="1265"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sidRPr="004E25F0">
              <w:rPr>
                <w:sz w:val="16"/>
              </w:rPr>
              <w:t>Authorised</w:t>
            </w:r>
          </w:p>
        </w:tc>
        <w:tc>
          <w:tcPr>
            <w:tcW w:w="1123"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sidRPr="004E25F0">
              <w:rPr>
                <w:sz w:val="16"/>
              </w:rPr>
              <w:t>Date</w:t>
            </w:r>
          </w:p>
        </w:tc>
      </w:tr>
      <w:tr w:rsidR="00D801B0" w:rsidRPr="005F5C0C" w:rsidTr="00750DA5">
        <w:tc>
          <w:tcPr>
            <w:tcW w:w="1008"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szCs w:val="18"/>
              </w:rPr>
            </w:pPr>
            <w:r>
              <w:rPr>
                <w:sz w:val="16"/>
                <w:szCs w:val="18"/>
              </w:rPr>
              <w:t>1.0</w:t>
            </w:r>
          </w:p>
        </w:tc>
        <w:tc>
          <w:tcPr>
            <w:tcW w:w="2700"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szCs w:val="18"/>
              </w:rPr>
            </w:pPr>
            <w:r>
              <w:rPr>
                <w:sz w:val="16"/>
                <w:szCs w:val="18"/>
              </w:rPr>
              <w:t>Initial version</w:t>
            </w:r>
          </w:p>
        </w:tc>
        <w:tc>
          <w:tcPr>
            <w:tcW w:w="1220"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Pr>
                <w:sz w:val="16"/>
              </w:rPr>
              <w:t>Schmidt</w:t>
            </w:r>
          </w:p>
        </w:tc>
        <w:tc>
          <w:tcPr>
            <w:tcW w:w="1309" w:type="dxa"/>
            <w:tcBorders>
              <w:top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Pr>
                <w:sz w:val="16"/>
              </w:rPr>
              <w:t>Bastholm</w:t>
            </w:r>
          </w:p>
        </w:tc>
        <w:tc>
          <w:tcPr>
            <w:tcW w:w="1264"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p>
        </w:tc>
        <w:tc>
          <w:tcPr>
            <w:tcW w:w="1265"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p>
        </w:tc>
        <w:tc>
          <w:tcPr>
            <w:tcW w:w="1123"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Pr>
                <w:sz w:val="16"/>
              </w:rPr>
              <w:t>11.06.2015</w:t>
            </w:r>
          </w:p>
        </w:tc>
      </w:tr>
      <w:tr w:rsidR="00D801B0" w:rsidRPr="005F5C0C" w:rsidTr="00750DA5">
        <w:tc>
          <w:tcPr>
            <w:tcW w:w="1008"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jc w:val="center"/>
              <w:rPr>
                <w:sz w:val="16"/>
                <w:szCs w:val="18"/>
              </w:rPr>
            </w:pPr>
            <w:r>
              <w:rPr>
                <w:sz w:val="16"/>
                <w:szCs w:val="18"/>
              </w:rPr>
              <w:t>1.1</w:t>
            </w:r>
          </w:p>
        </w:tc>
        <w:tc>
          <w:tcPr>
            <w:tcW w:w="2700"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rPr>
                <w:sz w:val="16"/>
                <w:szCs w:val="18"/>
              </w:rPr>
            </w:pPr>
            <w:r>
              <w:rPr>
                <w:sz w:val="16"/>
                <w:szCs w:val="18"/>
              </w:rPr>
              <w:t>Test phase information added</w:t>
            </w:r>
          </w:p>
        </w:tc>
        <w:tc>
          <w:tcPr>
            <w:tcW w:w="1220"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jc w:val="center"/>
              <w:rPr>
                <w:sz w:val="16"/>
              </w:rPr>
            </w:pPr>
            <w:r>
              <w:rPr>
                <w:sz w:val="16"/>
              </w:rPr>
              <w:t>Schmidt</w:t>
            </w:r>
          </w:p>
        </w:tc>
        <w:tc>
          <w:tcPr>
            <w:tcW w:w="1309" w:type="dxa"/>
            <w:tcBorders>
              <w:top w:val="single" w:sz="6" w:space="0" w:color="auto"/>
              <w:bottom w:val="single" w:sz="6" w:space="0" w:color="auto"/>
              <w:right w:val="single" w:sz="6" w:space="0" w:color="auto"/>
            </w:tcBorders>
          </w:tcPr>
          <w:p w:rsidR="00D801B0" w:rsidRDefault="00D801B0" w:rsidP="00750DA5">
            <w:pPr>
              <w:pStyle w:val="QAText"/>
              <w:jc w:val="center"/>
              <w:rPr>
                <w:sz w:val="16"/>
              </w:rPr>
            </w:pPr>
            <w:r>
              <w:rPr>
                <w:sz w:val="16"/>
              </w:rPr>
              <w:t>Bastholm</w:t>
            </w:r>
          </w:p>
        </w:tc>
        <w:tc>
          <w:tcPr>
            <w:tcW w:w="1264"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p>
        </w:tc>
        <w:tc>
          <w:tcPr>
            <w:tcW w:w="1265"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p>
        </w:tc>
        <w:tc>
          <w:tcPr>
            <w:tcW w:w="1123"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jc w:val="center"/>
              <w:rPr>
                <w:sz w:val="16"/>
              </w:rPr>
            </w:pPr>
            <w:r>
              <w:rPr>
                <w:sz w:val="16"/>
              </w:rPr>
              <w:t>22.06.2015</w:t>
            </w:r>
          </w:p>
        </w:tc>
      </w:tr>
      <w:tr w:rsidR="00D801B0" w:rsidRPr="004E25F0" w:rsidTr="00750DA5">
        <w:tc>
          <w:tcPr>
            <w:tcW w:w="1008"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jc w:val="center"/>
              <w:rPr>
                <w:sz w:val="16"/>
                <w:szCs w:val="18"/>
              </w:rPr>
            </w:pPr>
            <w:r>
              <w:rPr>
                <w:sz w:val="16"/>
                <w:szCs w:val="18"/>
              </w:rPr>
              <w:t>1,.2</w:t>
            </w:r>
          </w:p>
        </w:tc>
        <w:tc>
          <w:tcPr>
            <w:tcW w:w="2700" w:type="dxa"/>
            <w:tcBorders>
              <w:top w:val="single" w:sz="6" w:space="0" w:color="auto"/>
              <w:left w:val="single" w:sz="6" w:space="0" w:color="auto"/>
              <w:bottom w:val="single" w:sz="6" w:space="0" w:color="auto"/>
              <w:right w:val="single" w:sz="6" w:space="0" w:color="auto"/>
            </w:tcBorders>
          </w:tcPr>
          <w:p w:rsidR="00D801B0" w:rsidRDefault="00D801B0">
            <w:pPr>
              <w:pStyle w:val="QAText"/>
              <w:rPr>
                <w:sz w:val="16"/>
                <w:szCs w:val="18"/>
              </w:rPr>
            </w:pPr>
            <w:r>
              <w:rPr>
                <w:sz w:val="16"/>
                <w:szCs w:val="18"/>
              </w:rPr>
              <w:t>Rearrangement of sections</w:t>
            </w:r>
          </w:p>
        </w:tc>
        <w:tc>
          <w:tcPr>
            <w:tcW w:w="1220"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jc w:val="center"/>
              <w:rPr>
                <w:sz w:val="16"/>
              </w:rPr>
            </w:pPr>
            <w:r>
              <w:rPr>
                <w:sz w:val="16"/>
              </w:rPr>
              <w:t>Schmidt</w:t>
            </w:r>
          </w:p>
        </w:tc>
        <w:tc>
          <w:tcPr>
            <w:tcW w:w="1309" w:type="dxa"/>
            <w:tcBorders>
              <w:top w:val="single" w:sz="6" w:space="0" w:color="auto"/>
              <w:bottom w:val="single" w:sz="6" w:space="0" w:color="auto"/>
              <w:right w:val="single" w:sz="6" w:space="0" w:color="auto"/>
            </w:tcBorders>
          </w:tcPr>
          <w:p w:rsidR="00D801B0" w:rsidRDefault="00D801B0" w:rsidP="00750DA5">
            <w:pPr>
              <w:pStyle w:val="QAText"/>
              <w:jc w:val="center"/>
              <w:rPr>
                <w:sz w:val="16"/>
              </w:rPr>
            </w:pPr>
            <w:r>
              <w:rPr>
                <w:sz w:val="16"/>
              </w:rPr>
              <w:t>Bastholm</w:t>
            </w:r>
          </w:p>
        </w:tc>
        <w:tc>
          <w:tcPr>
            <w:tcW w:w="1264"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p>
        </w:tc>
        <w:tc>
          <w:tcPr>
            <w:tcW w:w="1265"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p>
        </w:tc>
        <w:tc>
          <w:tcPr>
            <w:tcW w:w="1123"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jc w:val="center"/>
              <w:rPr>
                <w:sz w:val="16"/>
              </w:rPr>
            </w:pPr>
            <w:r>
              <w:rPr>
                <w:sz w:val="16"/>
              </w:rPr>
              <w:t>25.06.2015</w:t>
            </w:r>
          </w:p>
        </w:tc>
      </w:tr>
      <w:tr w:rsidR="00D801B0" w:rsidRPr="00CE5762" w:rsidTr="00750DA5">
        <w:tc>
          <w:tcPr>
            <w:tcW w:w="1008"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jc w:val="center"/>
              <w:rPr>
                <w:sz w:val="16"/>
                <w:szCs w:val="18"/>
              </w:rPr>
            </w:pPr>
            <w:bookmarkStart w:id="10" w:name="_GoBack"/>
            <w:bookmarkEnd w:id="10"/>
            <w:r>
              <w:rPr>
                <w:sz w:val="16"/>
                <w:szCs w:val="18"/>
              </w:rPr>
              <w:t>1.3</w:t>
            </w:r>
          </w:p>
        </w:tc>
        <w:tc>
          <w:tcPr>
            <w:tcW w:w="2700"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rPr>
                <w:sz w:val="16"/>
                <w:szCs w:val="18"/>
              </w:rPr>
            </w:pPr>
            <w:r>
              <w:rPr>
                <w:sz w:val="16"/>
                <w:szCs w:val="18"/>
              </w:rPr>
              <w:t xml:space="preserve">Copying regions section updated, Draft removed </w:t>
            </w:r>
          </w:p>
        </w:tc>
        <w:tc>
          <w:tcPr>
            <w:tcW w:w="1220"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jc w:val="center"/>
              <w:rPr>
                <w:sz w:val="16"/>
              </w:rPr>
            </w:pPr>
            <w:r>
              <w:rPr>
                <w:sz w:val="16"/>
              </w:rPr>
              <w:t>Schmidt</w:t>
            </w:r>
          </w:p>
        </w:tc>
        <w:tc>
          <w:tcPr>
            <w:tcW w:w="1309" w:type="dxa"/>
            <w:tcBorders>
              <w:top w:val="single" w:sz="6" w:space="0" w:color="auto"/>
              <w:bottom w:val="single" w:sz="6" w:space="0" w:color="auto"/>
              <w:right w:val="single" w:sz="6" w:space="0" w:color="auto"/>
            </w:tcBorders>
          </w:tcPr>
          <w:p w:rsidR="00D801B0" w:rsidRDefault="00D801B0" w:rsidP="00750DA5">
            <w:pPr>
              <w:pStyle w:val="QAText"/>
              <w:jc w:val="center"/>
              <w:rPr>
                <w:sz w:val="16"/>
              </w:rPr>
            </w:pPr>
            <w:r>
              <w:rPr>
                <w:sz w:val="16"/>
              </w:rPr>
              <w:t>Cheng</w:t>
            </w:r>
          </w:p>
        </w:tc>
        <w:tc>
          <w:tcPr>
            <w:tcW w:w="1264"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Pr>
                <w:sz w:val="16"/>
              </w:rPr>
              <w:t>Olsen</w:t>
            </w:r>
          </w:p>
        </w:tc>
        <w:tc>
          <w:tcPr>
            <w:tcW w:w="1265" w:type="dxa"/>
            <w:tcBorders>
              <w:top w:val="single" w:sz="6" w:space="0" w:color="auto"/>
              <w:left w:val="single" w:sz="6" w:space="0" w:color="auto"/>
              <w:bottom w:val="single" w:sz="6" w:space="0" w:color="auto"/>
              <w:right w:val="single" w:sz="6" w:space="0" w:color="auto"/>
            </w:tcBorders>
          </w:tcPr>
          <w:p w:rsidR="00D801B0" w:rsidRPr="004E25F0" w:rsidRDefault="00D801B0" w:rsidP="00750DA5">
            <w:pPr>
              <w:pStyle w:val="QAText"/>
              <w:jc w:val="center"/>
              <w:rPr>
                <w:sz w:val="16"/>
              </w:rPr>
            </w:pPr>
            <w:r>
              <w:rPr>
                <w:sz w:val="16"/>
              </w:rPr>
              <w:t>Jørgensen</w:t>
            </w:r>
          </w:p>
        </w:tc>
        <w:tc>
          <w:tcPr>
            <w:tcW w:w="1123" w:type="dxa"/>
            <w:tcBorders>
              <w:top w:val="single" w:sz="6" w:space="0" w:color="auto"/>
              <w:left w:val="single" w:sz="6" w:space="0" w:color="auto"/>
              <w:bottom w:val="single" w:sz="6" w:space="0" w:color="auto"/>
              <w:right w:val="single" w:sz="6" w:space="0" w:color="auto"/>
            </w:tcBorders>
          </w:tcPr>
          <w:p w:rsidR="00D801B0" w:rsidRDefault="00D801B0" w:rsidP="00750DA5">
            <w:pPr>
              <w:pStyle w:val="QAText"/>
              <w:jc w:val="center"/>
              <w:rPr>
                <w:sz w:val="16"/>
              </w:rPr>
            </w:pPr>
            <w:r>
              <w:rPr>
                <w:sz w:val="16"/>
              </w:rPr>
              <w:t>25.09.2015</w:t>
            </w:r>
          </w:p>
        </w:tc>
      </w:tr>
    </w:tbl>
    <w:p w:rsidR="00D801B0" w:rsidRPr="00581077" w:rsidRDefault="00D801B0" w:rsidP="00750DA5">
      <w:pPr>
        <w:rPr>
          <w:szCs w:val="20"/>
        </w:rPr>
      </w:pPr>
      <w:r w:rsidRPr="00581077">
        <w:br w:type="page"/>
      </w:r>
    </w:p>
    <w:p w:rsidR="00D801B0" w:rsidRPr="00581077" w:rsidRDefault="00D801B0" w:rsidP="00750DA5">
      <w:pPr>
        <w:pStyle w:val="TOCHeading"/>
        <w:rPr>
          <w:lang w:val="en-GB"/>
        </w:rPr>
      </w:pPr>
      <w:r w:rsidRPr="00581077">
        <w:rPr>
          <w:lang w:val="en-GB"/>
        </w:rPr>
        <w:t>Content</w:t>
      </w:r>
      <w:r>
        <w:rPr>
          <w:lang w:val="en-GB"/>
        </w:rPr>
        <w:t>s</w:t>
      </w:r>
    </w:p>
    <w:p w:rsidR="00D801B0" w:rsidRPr="00581077" w:rsidRDefault="00D801B0" w:rsidP="00750DA5">
      <w:pPr>
        <w:rPr>
          <w:lang w:eastAsia="en-US"/>
        </w:rPr>
      </w:pPr>
    </w:p>
    <w:p w:rsidR="00077F55" w:rsidRPr="00750DA5" w:rsidRDefault="00D801B0">
      <w:pPr>
        <w:pStyle w:val="TOC1"/>
        <w:tabs>
          <w:tab w:val="left" w:pos="440"/>
          <w:tab w:val="right" w:leader="dot" w:pos="9012"/>
        </w:tabs>
        <w:rPr>
          <w:noProof/>
        </w:rPr>
      </w:pPr>
      <w:r w:rsidRPr="00581077">
        <w:rPr>
          <w:sz w:val="20"/>
          <w:szCs w:val="24"/>
        </w:rPr>
        <w:fldChar w:fldCharType="begin"/>
      </w:r>
      <w:r w:rsidRPr="00581077">
        <w:instrText xml:space="preserve"> TOC \o "1-4" \h \z \u </w:instrText>
      </w:r>
      <w:r w:rsidRPr="00581077">
        <w:rPr>
          <w:sz w:val="20"/>
          <w:szCs w:val="24"/>
        </w:rPr>
        <w:fldChar w:fldCharType="separate"/>
      </w:r>
      <w:hyperlink w:anchor="_Toc431801743" w:history="1">
        <w:r w:rsidR="00077F55" w:rsidRPr="003809A2">
          <w:rPr>
            <w:rStyle w:val="Hyperlink"/>
            <w:noProof/>
          </w:rPr>
          <w:t>2</w:t>
        </w:r>
        <w:r w:rsidR="00077F55" w:rsidRPr="00750DA5">
          <w:rPr>
            <w:noProof/>
          </w:rPr>
          <w:tab/>
        </w:r>
        <w:r w:rsidR="00077F55" w:rsidRPr="003809A2">
          <w:rPr>
            <w:rStyle w:val="Hyperlink"/>
            <w:noProof/>
          </w:rPr>
          <w:t>Introduction</w:t>
        </w:r>
        <w:r w:rsidR="00077F55">
          <w:rPr>
            <w:noProof/>
            <w:webHidden/>
          </w:rPr>
          <w:tab/>
        </w:r>
        <w:r w:rsidR="00077F55">
          <w:rPr>
            <w:noProof/>
            <w:webHidden/>
          </w:rPr>
          <w:fldChar w:fldCharType="begin"/>
        </w:r>
        <w:r w:rsidR="00077F55">
          <w:rPr>
            <w:noProof/>
            <w:webHidden/>
          </w:rPr>
          <w:instrText xml:space="preserve"> PAGEREF _Toc431801743 \h </w:instrText>
        </w:r>
        <w:r w:rsidR="00077F55">
          <w:rPr>
            <w:noProof/>
            <w:webHidden/>
          </w:rPr>
        </w:r>
        <w:r w:rsidR="00077F55">
          <w:rPr>
            <w:noProof/>
            <w:webHidden/>
          </w:rPr>
          <w:fldChar w:fldCharType="separate"/>
        </w:r>
        <w:r w:rsidR="00077F55">
          <w:rPr>
            <w:noProof/>
            <w:webHidden/>
          </w:rPr>
          <w:t>5</w:t>
        </w:r>
        <w:r w:rsidR="00077F55">
          <w:rPr>
            <w:noProof/>
            <w:webHidden/>
          </w:rPr>
          <w:fldChar w:fldCharType="end"/>
        </w:r>
      </w:hyperlink>
    </w:p>
    <w:p w:rsidR="00077F55" w:rsidRPr="00750DA5" w:rsidRDefault="00077F55">
      <w:pPr>
        <w:pStyle w:val="TOC2"/>
        <w:tabs>
          <w:tab w:val="left" w:pos="880"/>
          <w:tab w:val="right" w:leader="dot" w:pos="9012"/>
        </w:tabs>
        <w:rPr>
          <w:noProof/>
        </w:rPr>
      </w:pPr>
      <w:hyperlink w:anchor="_Toc431801744" w:history="1">
        <w:r w:rsidRPr="003809A2">
          <w:rPr>
            <w:rStyle w:val="Hyperlink"/>
            <w:noProof/>
          </w:rPr>
          <w:t>2.1</w:t>
        </w:r>
        <w:r w:rsidRPr="00750DA5">
          <w:rPr>
            <w:noProof/>
          </w:rPr>
          <w:tab/>
        </w:r>
        <w:r w:rsidRPr="003809A2">
          <w:rPr>
            <w:rStyle w:val="Hyperlink"/>
            <w:noProof/>
          </w:rPr>
          <w:t>Test phase</w:t>
        </w:r>
        <w:r>
          <w:rPr>
            <w:noProof/>
            <w:webHidden/>
          </w:rPr>
          <w:tab/>
        </w:r>
        <w:r>
          <w:rPr>
            <w:noProof/>
            <w:webHidden/>
          </w:rPr>
          <w:fldChar w:fldCharType="begin"/>
        </w:r>
        <w:r>
          <w:rPr>
            <w:noProof/>
            <w:webHidden/>
          </w:rPr>
          <w:instrText xml:space="preserve"> PAGEREF _Toc431801744 \h </w:instrText>
        </w:r>
        <w:r>
          <w:rPr>
            <w:noProof/>
            <w:webHidden/>
          </w:rPr>
        </w:r>
        <w:r>
          <w:rPr>
            <w:noProof/>
            <w:webHidden/>
          </w:rPr>
          <w:fldChar w:fldCharType="separate"/>
        </w:r>
        <w:r>
          <w:rPr>
            <w:noProof/>
            <w:webHidden/>
          </w:rPr>
          <w:t>5</w:t>
        </w:r>
        <w:r>
          <w:rPr>
            <w:noProof/>
            <w:webHidden/>
          </w:rPr>
          <w:fldChar w:fldCharType="end"/>
        </w:r>
      </w:hyperlink>
    </w:p>
    <w:p w:rsidR="00077F55" w:rsidRPr="00750DA5" w:rsidRDefault="00077F55">
      <w:pPr>
        <w:pStyle w:val="TOC1"/>
        <w:tabs>
          <w:tab w:val="left" w:pos="440"/>
          <w:tab w:val="right" w:leader="dot" w:pos="9012"/>
        </w:tabs>
        <w:rPr>
          <w:noProof/>
        </w:rPr>
      </w:pPr>
      <w:hyperlink w:anchor="_Toc431801745" w:history="1">
        <w:r w:rsidRPr="003809A2">
          <w:rPr>
            <w:rStyle w:val="Hyperlink"/>
            <w:noProof/>
          </w:rPr>
          <w:t>3</w:t>
        </w:r>
        <w:r w:rsidRPr="00750DA5">
          <w:rPr>
            <w:noProof/>
          </w:rPr>
          <w:tab/>
        </w:r>
        <w:r w:rsidRPr="003809A2">
          <w:rPr>
            <w:rStyle w:val="Hyperlink"/>
            <w:noProof/>
          </w:rPr>
          <w:t>Create a new envelopes</w:t>
        </w:r>
        <w:r>
          <w:rPr>
            <w:noProof/>
            <w:webHidden/>
          </w:rPr>
          <w:tab/>
        </w:r>
        <w:r>
          <w:rPr>
            <w:noProof/>
            <w:webHidden/>
          </w:rPr>
          <w:fldChar w:fldCharType="begin"/>
        </w:r>
        <w:r>
          <w:rPr>
            <w:noProof/>
            <w:webHidden/>
          </w:rPr>
          <w:instrText xml:space="preserve"> PAGEREF _Toc431801745 \h </w:instrText>
        </w:r>
        <w:r>
          <w:rPr>
            <w:noProof/>
            <w:webHidden/>
          </w:rPr>
        </w:r>
        <w:r>
          <w:rPr>
            <w:noProof/>
            <w:webHidden/>
          </w:rPr>
          <w:fldChar w:fldCharType="separate"/>
        </w:r>
        <w:r>
          <w:rPr>
            <w:noProof/>
            <w:webHidden/>
          </w:rPr>
          <w:t>5</w:t>
        </w:r>
        <w:r>
          <w:rPr>
            <w:noProof/>
            <w:webHidden/>
          </w:rPr>
          <w:fldChar w:fldCharType="end"/>
        </w:r>
      </w:hyperlink>
    </w:p>
    <w:p w:rsidR="00077F55" w:rsidRPr="00750DA5" w:rsidRDefault="00077F55">
      <w:pPr>
        <w:pStyle w:val="TOC1"/>
        <w:tabs>
          <w:tab w:val="left" w:pos="440"/>
          <w:tab w:val="right" w:leader="dot" w:pos="9012"/>
        </w:tabs>
        <w:rPr>
          <w:noProof/>
        </w:rPr>
      </w:pPr>
      <w:hyperlink w:anchor="_Toc431801746" w:history="1">
        <w:r w:rsidRPr="003809A2">
          <w:rPr>
            <w:rStyle w:val="Hyperlink"/>
            <w:noProof/>
          </w:rPr>
          <w:t>4</w:t>
        </w:r>
        <w:r w:rsidRPr="00750DA5">
          <w:rPr>
            <w:noProof/>
          </w:rPr>
          <w:tab/>
        </w:r>
        <w:r w:rsidRPr="003809A2">
          <w:rPr>
            <w:rStyle w:val="Hyperlink"/>
            <w:noProof/>
          </w:rPr>
          <w:t>The questionnaire</w:t>
        </w:r>
        <w:r>
          <w:rPr>
            <w:noProof/>
            <w:webHidden/>
          </w:rPr>
          <w:tab/>
        </w:r>
        <w:r>
          <w:rPr>
            <w:noProof/>
            <w:webHidden/>
          </w:rPr>
          <w:fldChar w:fldCharType="begin"/>
        </w:r>
        <w:r>
          <w:rPr>
            <w:noProof/>
            <w:webHidden/>
          </w:rPr>
          <w:instrText xml:space="preserve"> PAGEREF _Toc431801746 \h </w:instrText>
        </w:r>
        <w:r>
          <w:rPr>
            <w:noProof/>
            <w:webHidden/>
          </w:rPr>
        </w:r>
        <w:r>
          <w:rPr>
            <w:noProof/>
            <w:webHidden/>
          </w:rPr>
          <w:fldChar w:fldCharType="separate"/>
        </w:r>
        <w:r>
          <w:rPr>
            <w:noProof/>
            <w:webHidden/>
          </w:rPr>
          <w:t>7</w:t>
        </w:r>
        <w:r>
          <w:rPr>
            <w:noProof/>
            <w:webHidden/>
          </w:rPr>
          <w:fldChar w:fldCharType="end"/>
        </w:r>
      </w:hyperlink>
    </w:p>
    <w:p w:rsidR="00077F55" w:rsidRPr="00750DA5" w:rsidRDefault="00077F55">
      <w:pPr>
        <w:pStyle w:val="TOC2"/>
        <w:tabs>
          <w:tab w:val="left" w:pos="880"/>
          <w:tab w:val="right" w:leader="dot" w:pos="9012"/>
        </w:tabs>
        <w:rPr>
          <w:noProof/>
        </w:rPr>
      </w:pPr>
      <w:hyperlink w:anchor="_Toc431801747" w:history="1">
        <w:r w:rsidRPr="003809A2">
          <w:rPr>
            <w:rStyle w:val="Hyperlink"/>
            <w:noProof/>
          </w:rPr>
          <w:t>4.1</w:t>
        </w:r>
        <w:r w:rsidRPr="00750DA5">
          <w:rPr>
            <w:noProof/>
          </w:rPr>
          <w:tab/>
        </w:r>
        <w:r w:rsidRPr="003809A2">
          <w:rPr>
            <w:rStyle w:val="Hyperlink"/>
            <w:noProof/>
          </w:rPr>
          <w:t>Controls</w:t>
        </w:r>
        <w:r>
          <w:rPr>
            <w:noProof/>
            <w:webHidden/>
          </w:rPr>
          <w:tab/>
        </w:r>
        <w:r>
          <w:rPr>
            <w:noProof/>
            <w:webHidden/>
          </w:rPr>
          <w:fldChar w:fldCharType="begin"/>
        </w:r>
        <w:r>
          <w:rPr>
            <w:noProof/>
            <w:webHidden/>
          </w:rPr>
          <w:instrText xml:space="preserve"> PAGEREF _Toc431801747 \h </w:instrText>
        </w:r>
        <w:r>
          <w:rPr>
            <w:noProof/>
            <w:webHidden/>
          </w:rPr>
        </w:r>
        <w:r>
          <w:rPr>
            <w:noProof/>
            <w:webHidden/>
          </w:rPr>
          <w:fldChar w:fldCharType="separate"/>
        </w:r>
        <w:r>
          <w:rPr>
            <w:noProof/>
            <w:webHidden/>
          </w:rPr>
          <w:t>9</w:t>
        </w:r>
        <w:r>
          <w:rPr>
            <w:noProof/>
            <w:webHidden/>
          </w:rPr>
          <w:fldChar w:fldCharType="end"/>
        </w:r>
      </w:hyperlink>
    </w:p>
    <w:p w:rsidR="00077F55" w:rsidRPr="00750DA5" w:rsidRDefault="00077F55">
      <w:pPr>
        <w:pStyle w:val="TOC1"/>
        <w:tabs>
          <w:tab w:val="left" w:pos="440"/>
          <w:tab w:val="right" w:leader="dot" w:pos="9012"/>
        </w:tabs>
        <w:rPr>
          <w:noProof/>
        </w:rPr>
      </w:pPr>
      <w:hyperlink w:anchor="_Toc431801748" w:history="1">
        <w:r w:rsidRPr="003809A2">
          <w:rPr>
            <w:rStyle w:val="Hyperlink"/>
            <w:noProof/>
            <w:lang w:val="en-US"/>
          </w:rPr>
          <w:t>5</w:t>
        </w:r>
        <w:r w:rsidRPr="00750DA5">
          <w:rPr>
            <w:noProof/>
          </w:rPr>
          <w:tab/>
        </w:r>
        <w:r w:rsidRPr="003809A2">
          <w:rPr>
            <w:rStyle w:val="Hyperlink"/>
            <w:noProof/>
            <w:lang w:val="en-US"/>
          </w:rPr>
          <w:t>Name file and copying for a different (sub) region</w:t>
        </w:r>
        <w:r>
          <w:rPr>
            <w:noProof/>
            <w:webHidden/>
          </w:rPr>
          <w:tab/>
        </w:r>
        <w:r>
          <w:rPr>
            <w:noProof/>
            <w:webHidden/>
          </w:rPr>
          <w:fldChar w:fldCharType="begin"/>
        </w:r>
        <w:r>
          <w:rPr>
            <w:noProof/>
            <w:webHidden/>
          </w:rPr>
          <w:instrText xml:space="preserve"> PAGEREF _Toc431801748 \h </w:instrText>
        </w:r>
        <w:r>
          <w:rPr>
            <w:noProof/>
            <w:webHidden/>
          </w:rPr>
        </w:r>
        <w:r>
          <w:rPr>
            <w:noProof/>
            <w:webHidden/>
          </w:rPr>
          <w:fldChar w:fldCharType="separate"/>
        </w:r>
        <w:r>
          <w:rPr>
            <w:noProof/>
            <w:webHidden/>
          </w:rPr>
          <w:t>9</w:t>
        </w:r>
        <w:r>
          <w:rPr>
            <w:noProof/>
            <w:webHidden/>
          </w:rPr>
          <w:fldChar w:fldCharType="end"/>
        </w:r>
      </w:hyperlink>
    </w:p>
    <w:p w:rsidR="00077F55" w:rsidRPr="00750DA5" w:rsidRDefault="00077F55">
      <w:pPr>
        <w:pStyle w:val="TOC2"/>
        <w:tabs>
          <w:tab w:val="left" w:pos="880"/>
          <w:tab w:val="right" w:leader="dot" w:pos="9012"/>
        </w:tabs>
        <w:rPr>
          <w:noProof/>
        </w:rPr>
      </w:pPr>
      <w:hyperlink w:anchor="_Toc431801749" w:history="1">
        <w:r w:rsidRPr="003809A2">
          <w:rPr>
            <w:rStyle w:val="Hyperlink"/>
            <w:noProof/>
            <w:lang w:val="en-US"/>
          </w:rPr>
          <w:t>5.1</w:t>
        </w:r>
        <w:r w:rsidRPr="00750DA5">
          <w:rPr>
            <w:noProof/>
          </w:rPr>
          <w:tab/>
        </w:r>
        <w:r w:rsidRPr="003809A2">
          <w:rPr>
            <w:rStyle w:val="Hyperlink"/>
            <w:noProof/>
            <w:lang w:val="en-US"/>
          </w:rPr>
          <w:t>File naming</w:t>
        </w:r>
        <w:r>
          <w:rPr>
            <w:noProof/>
            <w:webHidden/>
          </w:rPr>
          <w:tab/>
        </w:r>
        <w:r>
          <w:rPr>
            <w:noProof/>
            <w:webHidden/>
          </w:rPr>
          <w:fldChar w:fldCharType="begin"/>
        </w:r>
        <w:r>
          <w:rPr>
            <w:noProof/>
            <w:webHidden/>
          </w:rPr>
          <w:instrText xml:space="preserve"> PAGEREF _Toc431801749 \h </w:instrText>
        </w:r>
        <w:r>
          <w:rPr>
            <w:noProof/>
            <w:webHidden/>
          </w:rPr>
        </w:r>
        <w:r>
          <w:rPr>
            <w:noProof/>
            <w:webHidden/>
          </w:rPr>
          <w:fldChar w:fldCharType="separate"/>
        </w:r>
        <w:r>
          <w:rPr>
            <w:noProof/>
            <w:webHidden/>
          </w:rPr>
          <w:t>9</w:t>
        </w:r>
        <w:r>
          <w:rPr>
            <w:noProof/>
            <w:webHidden/>
          </w:rPr>
          <w:fldChar w:fldCharType="end"/>
        </w:r>
      </w:hyperlink>
    </w:p>
    <w:p w:rsidR="00077F55" w:rsidRPr="00750DA5" w:rsidRDefault="00077F55">
      <w:pPr>
        <w:pStyle w:val="TOC2"/>
        <w:tabs>
          <w:tab w:val="left" w:pos="880"/>
          <w:tab w:val="right" w:leader="dot" w:pos="9012"/>
        </w:tabs>
        <w:rPr>
          <w:noProof/>
        </w:rPr>
      </w:pPr>
      <w:hyperlink w:anchor="_Toc431801750" w:history="1">
        <w:r w:rsidRPr="003809A2">
          <w:rPr>
            <w:rStyle w:val="Hyperlink"/>
            <w:noProof/>
            <w:lang w:val="en-US"/>
          </w:rPr>
          <w:t>5.2</w:t>
        </w:r>
        <w:r w:rsidRPr="00750DA5">
          <w:rPr>
            <w:noProof/>
          </w:rPr>
          <w:tab/>
        </w:r>
        <w:r w:rsidRPr="003809A2">
          <w:rPr>
            <w:rStyle w:val="Hyperlink"/>
            <w:noProof/>
            <w:lang w:val="en-US"/>
          </w:rPr>
          <w:t>Multiple regions</w:t>
        </w:r>
        <w:r>
          <w:rPr>
            <w:noProof/>
            <w:webHidden/>
          </w:rPr>
          <w:tab/>
        </w:r>
        <w:r>
          <w:rPr>
            <w:noProof/>
            <w:webHidden/>
          </w:rPr>
          <w:fldChar w:fldCharType="begin"/>
        </w:r>
        <w:r>
          <w:rPr>
            <w:noProof/>
            <w:webHidden/>
          </w:rPr>
          <w:instrText xml:space="preserve"> PAGEREF _Toc431801750 \h </w:instrText>
        </w:r>
        <w:r>
          <w:rPr>
            <w:noProof/>
            <w:webHidden/>
          </w:rPr>
        </w:r>
        <w:r>
          <w:rPr>
            <w:noProof/>
            <w:webHidden/>
          </w:rPr>
          <w:fldChar w:fldCharType="separate"/>
        </w:r>
        <w:r>
          <w:rPr>
            <w:noProof/>
            <w:webHidden/>
          </w:rPr>
          <w:t>9</w:t>
        </w:r>
        <w:r>
          <w:rPr>
            <w:noProof/>
            <w:webHidden/>
          </w:rPr>
          <w:fldChar w:fldCharType="end"/>
        </w:r>
      </w:hyperlink>
    </w:p>
    <w:p w:rsidR="00077F55" w:rsidRPr="00750DA5" w:rsidRDefault="00077F55">
      <w:pPr>
        <w:pStyle w:val="TOC1"/>
        <w:tabs>
          <w:tab w:val="left" w:pos="440"/>
          <w:tab w:val="right" w:leader="dot" w:pos="9012"/>
        </w:tabs>
        <w:rPr>
          <w:noProof/>
        </w:rPr>
      </w:pPr>
      <w:hyperlink w:anchor="_Toc431801751" w:history="1">
        <w:r w:rsidRPr="003809A2">
          <w:rPr>
            <w:rStyle w:val="Hyperlink"/>
            <w:noProof/>
            <w:lang w:val="en-US"/>
          </w:rPr>
          <w:t>6</w:t>
        </w:r>
        <w:r w:rsidRPr="00750DA5">
          <w:rPr>
            <w:noProof/>
          </w:rPr>
          <w:tab/>
        </w:r>
        <w:r w:rsidRPr="003809A2">
          <w:rPr>
            <w:rStyle w:val="Hyperlink"/>
            <w:noProof/>
            <w:lang w:val="en-US"/>
          </w:rPr>
          <w:t>Finalize the reporting</w:t>
        </w:r>
        <w:r>
          <w:rPr>
            <w:noProof/>
            <w:webHidden/>
          </w:rPr>
          <w:tab/>
        </w:r>
        <w:r>
          <w:rPr>
            <w:noProof/>
            <w:webHidden/>
          </w:rPr>
          <w:fldChar w:fldCharType="begin"/>
        </w:r>
        <w:r>
          <w:rPr>
            <w:noProof/>
            <w:webHidden/>
          </w:rPr>
          <w:instrText xml:space="preserve"> PAGEREF _Toc431801751 \h </w:instrText>
        </w:r>
        <w:r>
          <w:rPr>
            <w:noProof/>
            <w:webHidden/>
          </w:rPr>
        </w:r>
        <w:r>
          <w:rPr>
            <w:noProof/>
            <w:webHidden/>
          </w:rPr>
          <w:fldChar w:fldCharType="separate"/>
        </w:r>
        <w:r>
          <w:rPr>
            <w:noProof/>
            <w:webHidden/>
          </w:rPr>
          <w:t>10</w:t>
        </w:r>
        <w:r>
          <w:rPr>
            <w:noProof/>
            <w:webHidden/>
          </w:rPr>
          <w:fldChar w:fldCharType="end"/>
        </w:r>
      </w:hyperlink>
    </w:p>
    <w:p w:rsidR="00D801B0" w:rsidRPr="00581077" w:rsidRDefault="00D801B0" w:rsidP="00750DA5">
      <w:pPr>
        <w:pStyle w:val="StyleLeft0cm"/>
        <w:rPr>
          <w:b/>
          <w:lang w:val="en-GB"/>
        </w:rPr>
      </w:pPr>
      <w:r w:rsidRPr="00581077">
        <w:rPr>
          <w:b/>
          <w:lang w:val="en-GB"/>
        </w:rPr>
        <w:fldChar w:fldCharType="end"/>
      </w:r>
    </w:p>
    <w:p w:rsidR="00D801B0" w:rsidRPr="00581077" w:rsidRDefault="00D801B0" w:rsidP="00D801B0">
      <w:pPr>
        <w:pStyle w:val="Heading1"/>
        <w:keepNext w:val="0"/>
        <w:keepLines w:val="0"/>
        <w:pageBreakBefore/>
        <w:suppressAutoHyphens/>
        <w:spacing w:before="120" w:after="120" w:line="276" w:lineRule="auto"/>
        <w:contextualSpacing/>
        <w:jc w:val="left"/>
      </w:pPr>
      <w:bookmarkStart w:id="11" w:name="_Toc431801743"/>
      <w:r>
        <w:lastRenderedPageBreak/>
        <w:t>Introduction</w:t>
      </w:r>
      <w:bookmarkEnd w:id="11"/>
    </w:p>
    <w:p w:rsidR="00D801B0" w:rsidRDefault="00D801B0" w:rsidP="00750DA5">
      <w:pPr>
        <w:rPr>
          <w:rFonts w:cs="Arial"/>
        </w:rPr>
      </w:pPr>
      <w:r w:rsidRPr="00786DFB">
        <w:rPr>
          <w:rFonts w:cs="Arial"/>
        </w:rPr>
        <w:t>The electronic reporting (Reporting Sheet) on MSFD Programmes of Measures (Art. 13) and on exceptions (Art. 14) is based on</w:t>
      </w:r>
      <w:r>
        <w:rPr>
          <w:rFonts w:cs="Arial"/>
        </w:rPr>
        <w:t xml:space="preserve"> two webforms/questionnaires. One questionnaire for measures and one for exceptions. Completing the questionnaires will produce a measure.xml and an exception.xml. These two files will need to be submitted in </w:t>
      </w:r>
      <w:r w:rsidRPr="00786DFB">
        <w:rPr>
          <w:rFonts w:cs="Arial"/>
        </w:rPr>
        <w:t>the envelop for this reporting obligation within the Member State folder</w:t>
      </w:r>
      <w:r>
        <w:rPr>
          <w:rFonts w:cs="Arial"/>
        </w:rPr>
        <w:t xml:space="preserve"> on EIONET’s Central Data Repository (CDR).</w:t>
      </w:r>
    </w:p>
    <w:p w:rsidR="00D801B0" w:rsidRDefault="00D801B0" w:rsidP="00750DA5">
      <w:pPr>
        <w:rPr>
          <w:rFonts w:cs="Arial"/>
        </w:rPr>
      </w:pPr>
      <w:r>
        <w:rPr>
          <w:rFonts w:cs="Arial"/>
        </w:rPr>
        <w:t>This guide will show you how to create an envelope in the CDR, add the measure.xml and exception.xml, add content to the xml files and release the envelope.</w:t>
      </w:r>
    </w:p>
    <w:p w:rsidR="00D801B0" w:rsidRDefault="00D801B0" w:rsidP="00750DA5">
      <w:pPr>
        <w:rPr>
          <w:rFonts w:cs="Arial"/>
        </w:rPr>
      </w:pPr>
      <w:r>
        <w:rPr>
          <w:rFonts w:cs="Arial"/>
        </w:rPr>
        <w:t>The first section will focus on the CDR and show how to create an envelope, add the xml files and release them. The second section will cover how to use the questionnaires to add content to the xml files.</w:t>
      </w:r>
    </w:p>
    <w:p w:rsidR="00D801B0" w:rsidRDefault="00D801B0" w:rsidP="00750DA5">
      <w:pPr>
        <w:rPr>
          <w:rFonts w:cs="Arial"/>
        </w:rPr>
      </w:pPr>
      <w:r>
        <w:rPr>
          <w:rFonts w:cs="Arial"/>
        </w:rPr>
        <w:t xml:space="preserve">The resource page is located at: </w:t>
      </w:r>
      <w:hyperlink r:id="rId9" w:history="1">
        <w:r w:rsidRPr="00D46623">
          <w:rPr>
            <w:rStyle w:val="Hyperlink"/>
            <w:rFonts w:cs="Arial"/>
          </w:rPr>
          <w:t>http://icm.eionet.europa.eu/schemas/dir200856ec/resources2015</w:t>
        </w:r>
      </w:hyperlink>
    </w:p>
    <w:p w:rsidR="00D801B0" w:rsidRDefault="00D801B0" w:rsidP="00D801B0">
      <w:pPr>
        <w:pStyle w:val="Heading2"/>
        <w:keepNext w:val="0"/>
        <w:keepLines w:val="0"/>
        <w:suppressAutoHyphens/>
        <w:spacing w:before="480" w:after="120" w:line="276" w:lineRule="auto"/>
        <w:contextualSpacing/>
        <w:jc w:val="left"/>
      </w:pPr>
      <w:bookmarkStart w:id="12" w:name="_Toc431801744"/>
      <w:r>
        <w:t>Test phase</w:t>
      </w:r>
      <w:bookmarkEnd w:id="12"/>
    </w:p>
    <w:p w:rsidR="00D801B0" w:rsidRDefault="00D801B0" w:rsidP="00D801B0">
      <w:pPr>
        <w:rPr>
          <w:rFonts w:cs="Arial"/>
        </w:rPr>
      </w:pPr>
      <w:r w:rsidRPr="00E31834">
        <w:rPr>
          <w:rFonts w:cs="Arial"/>
        </w:rPr>
        <w:t>Please note</w:t>
      </w:r>
      <w:r>
        <w:rPr>
          <w:rFonts w:cs="Arial"/>
        </w:rPr>
        <w:t xml:space="preserve"> that the </w:t>
      </w:r>
      <w:r w:rsidRPr="00E31834">
        <w:rPr>
          <w:rFonts w:cs="Arial"/>
        </w:rPr>
        <w:t xml:space="preserve">test phase is executed </w:t>
      </w:r>
      <w:r>
        <w:rPr>
          <w:rFonts w:cs="Arial"/>
        </w:rPr>
        <w:t>in</w:t>
      </w:r>
      <w:r w:rsidRPr="00E31834">
        <w:rPr>
          <w:rFonts w:cs="Arial"/>
        </w:rPr>
        <w:t xml:space="preserve"> the playground at </w:t>
      </w:r>
      <w:hyperlink r:id="rId10" w:history="1">
        <w:r w:rsidRPr="005A5E3A">
          <w:rPr>
            <w:rStyle w:val="Hyperlink"/>
            <w:rFonts w:cs="Arial"/>
          </w:rPr>
          <w:t>http://cdrtest.eionet.europa.eu/dk/eu/colvxbjjq/</w:t>
        </w:r>
      </w:hyperlink>
      <w:r w:rsidRPr="00E31834">
        <w:rPr>
          <w:rFonts w:cs="Arial"/>
        </w:rPr>
        <w:t>.</w:t>
      </w:r>
      <w:r>
        <w:rPr>
          <w:rFonts w:cs="Arial"/>
        </w:rPr>
        <w:t xml:space="preserve"> Only the DK envelope is setup for the test phase. One has to use the reporter login to get access to the test envelope.</w:t>
      </w:r>
    </w:p>
    <w:p w:rsidR="00D801B0" w:rsidRDefault="00D801B0" w:rsidP="00D801B0">
      <w:pPr>
        <w:pStyle w:val="Heading1"/>
      </w:pPr>
      <w:bookmarkStart w:id="13" w:name="_Toc431801745"/>
      <w:r>
        <w:t>Create a new envelopes</w:t>
      </w:r>
      <w:bookmarkEnd w:id="13"/>
    </w:p>
    <w:p w:rsidR="00D801B0" w:rsidRDefault="00D801B0" w:rsidP="00750DA5">
      <w:pPr>
        <w:rPr>
          <w:rFonts w:cs="Arial"/>
        </w:rPr>
      </w:pPr>
      <w:r>
        <w:rPr>
          <w:rFonts w:cs="Arial"/>
        </w:rPr>
        <w:t>This section will focus on how to navigate EIONET to get to an open questionnaire.</w:t>
      </w:r>
    </w:p>
    <w:p w:rsidR="00D801B0" w:rsidRDefault="00D801B0" w:rsidP="00D801B0">
      <w:pPr>
        <w:numPr>
          <w:ilvl w:val="0"/>
          <w:numId w:val="38"/>
        </w:numPr>
        <w:spacing w:before="60" w:after="60" w:line="276" w:lineRule="auto"/>
        <w:contextualSpacing/>
        <w:jc w:val="left"/>
        <w:rPr>
          <w:rFonts w:cs="Arial"/>
        </w:rPr>
      </w:pPr>
      <w:r w:rsidRPr="00E31834">
        <w:rPr>
          <w:rFonts w:cs="Arial"/>
        </w:rPr>
        <w:t xml:space="preserve">Open a browser and </w:t>
      </w:r>
      <w:r>
        <w:rPr>
          <w:rFonts w:cs="Arial"/>
        </w:rPr>
        <w:t>go to</w:t>
      </w:r>
      <w:r w:rsidRPr="00E31834">
        <w:rPr>
          <w:rFonts w:cs="Arial"/>
        </w:rPr>
        <w:t xml:space="preserve"> CDR at </w:t>
      </w:r>
      <w:hyperlink r:id="rId11" w:history="1">
        <w:r w:rsidRPr="00E31834">
          <w:rPr>
            <w:rStyle w:val="Hyperlink"/>
            <w:rFonts w:cs="Arial"/>
          </w:rPr>
          <w:t>http://cdr.eionet.europa.eu</w:t>
        </w:r>
      </w:hyperlink>
      <w:r w:rsidRPr="00E31834">
        <w:rPr>
          <w:rFonts w:cs="Arial"/>
        </w:rPr>
        <w:t xml:space="preserve">. </w:t>
      </w:r>
    </w:p>
    <w:p w:rsidR="00D801B0" w:rsidRDefault="00D801B0" w:rsidP="00750DA5">
      <w:pPr>
        <w:ind w:left="720"/>
        <w:rPr>
          <w:rFonts w:cs="Arial"/>
        </w:rPr>
      </w:pPr>
      <w:r>
        <w:rPr>
          <w:rFonts w:cs="Arial"/>
        </w:rPr>
        <w:t>Navigate CDR to your obligation folder:</w:t>
      </w:r>
    </w:p>
    <w:p w:rsidR="00D801B0" w:rsidRPr="00F82505" w:rsidRDefault="00D801B0" w:rsidP="00D801B0">
      <w:pPr>
        <w:pStyle w:val="ListParagraph"/>
        <w:numPr>
          <w:ilvl w:val="0"/>
          <w:numId w:val="39"/>
        </w:numPr>
        <w:spacing w:before="60" w:after="60" w:line="276" w:lineRule="auto"/>
        <w:jc w:val="left"/>
      </w:pPr>
      <w:r w:rsidRPr="00F82505">
        <w:t>Select: Country</w:t>
      </w:r>
    </w:p>
    <w:p w:rsidR="00D801B0" w:rsidRPr="00F82505" w:rsidRDefault="00D801B0" w:rsidP="00D801B0">
      <w:pPr>
        <w:pStyle w:val="ListParagraph"/>
        <w:numPr>
          <w:ilvl w:val="0"/>
          <w:numId w:val="39"/>
        </w:numPr>
        <w:spacing w:before="60" w:after="60" w:line="276" w:lineRule="auto"/>
        <w:jc w:val="left"/>
      </w:pPr>
      <w:r w:rsidRPr="00F82505">
        <w:t>Select: European Union (EU), obligations</w:t>
      </w:r>
    </w:p>
    <w:p w:rsidR="00D801B0" w:rsidRPr="00F82505" w:rsidRDefault="00D801B0" w:rsidP="00D801B0">
      <w:pPr>
        <w:pStyle w:val="ListParagraph"/>
        <w:numPr>
          <w:ilvl w:val="0"/>
          <w:numId w:val="39"/>
        </w:numPr>
        <w:spacing w:before="60" w:after="60" w:line="276" w:lineRule="auto"/>
        <w:jc w:val="left"/>
      </w:pPr>
      <w:r w:rsidRPr="00F82505">
        <w:t>Select: MSFD programmes of measures (art. 13)</w:t>
      </w:r>
      <w:r w:rsidRPr="00786DFB">
        <w:t xml:space="preserve"> and exceptions (Art. 14)</w:t>
      </w:r>
    </w:p>
    <w:p w:rsidR="00D801B0" w:rsidRDefault="00D801B0" w:rsidP="00750DA5">
      <w:pPr>
        <w:ind w:left="720"/>
        <w:rPr>
          <w:rFonts w:cs="Arial"/>
        </w:rPr>
      </w:pPr>
      <w:r>
        <w:rPr>
          <w:rFonts w:cs="Arial"/>
        </w:rPr>
        <w:t xml:space="preserve">Denmark in this example: </w:t>
      </w:r>
      <w:hyperlink r:id="rId12" w:history="1">
        <w:r w:rsidRPr="005A5E3A">
          <w:rPr>
            <w:rStyle w:val="Hyperlink"/>
            <w:rFonts w:cs="Arial"/>
          </w:rPr>
          <w:t>http://cdrtest.eionet.europa.eu/dk/eu/colvxbjjq/</w:t>
        </w:r>
      </w:hyperlink>
    </w:p>
    <w:p w:rsidR="00D801B0" w:rsidRDefault="00D801B0" w:rsidP="00D801B0">
      <w:pPr>
        <w:pStyle w:val="ListParagraph"/>
        <w:numPr>
          <w:ilvl w:val="0"/>
          <w:numId w:val="38"/>
        </w:numPr>
        <w:spacing w:before="60" w:after="60" w:line="276" w:lineRule="auto"/>
        <w:jc w:val="left"/>
      </w:pPr>
      <w:r>
        <w:t>Make a new envelope.</w:t>
      </w:r>
    </w:p>
    <w:p w:rsidR="00D801B0" w:rsidRDefault="00D801B0" w:rsidP="00750DA5">
      <w:pPr>
        <w:pStyle w:val="ListParagraph"/>
      </w:pPr>
    </w:p>
    <w:p w:rsidR="00D801B0" w:rsidRDefault="00E7197F" w:rsidP="00750DA5">
      <w:pPr>
        <w:pStyle w:val="ListParagraph"/>
      </w:pPr>
      <w:r>
        <w:rPr>
          <w:noProof/>
          <w:lang w:val="el-GR" w:eastAsia="el-GR"/>
        </w:rPr>
        <w:drawing>
          <wp:inline distT="0" distB="0" distL="0" distR="0">
            <wp:extent cx="5610225" cy="857250"/>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801B0" w:rsidRDefault="00D801B0" w:rsidP="00750DA5">
      <w:pPr>
        <w:pStyle w:val="ListParagraph"/>
      </w:pPr>
    </w:p>
    <w:p w:rsidR="00D801B0" w:rsidRDefault="00D801B0" w:rsidP="00D801B0">
      <w:pPr>
        <w:pStyle w:val="ListParagraph"/>
        <w:numPr>
          <w:ilvl w:val="0"/>
          <w:numId w:val="38"/>
        </w:numPr>
        <w:spacing w:before="60" w:after="60" w:line="276" w:lineRule="auto"/>
        <w:jc w:val="left"/>
      </w:pPr>
      <w:r>
        <w:t>Fill in the envelope information and press Add. Again, Denmark is used in the example:</w:t>
      </w:r>
    </w:p>
    <w:p w:rsidR="00D801B0" w:rsidRDefault="00E7197F" w:rsidP="00750DA5">
      <w:pPr>
        <w:pStyle w:val="ListParagraph"/>
      </w:pPr>
      <w:r>
        <w:rPr>
          <w:noProof/>
          <w:lang w:val="el-GR" w:eastAsia="el-GR"/>
        </w:rPr>
        <w:lastRenderedPageBreak/>
        <w:drawing>
          <wp:inline distT="0" distB="0" distL="0" distR="0">
            <wp:extent cx="5619750" cy="26670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619750" cy="2667000"/>
                    </a:xfrm>
                    <a:prstGeom prst="rect">
                      <a:avLst/>
                    </a:prstGeom>
                    <a:noFill/>
                    <a:ln w="9525">
                      <a:noFill/>
                      <a:miter lim="800000"/>
                      <a:headEnd/>
                      <a:tailEnd/>
                    </a:ln>
                  </pic:spPr>
                </pic:pic>
              </a:graphicData>
            </a:graphic>
          </wp:inline>
        </w:drawing>
      </w:r>
    </w:p>
    <w:p w:rsidR="00D801B0" w:rsidRDefault="00D801B0" w:rsidP="00750DA5">
      <w:pPr>
        <w:pStyle w:val="ListParagraph"/>
      </w:pPr>
    </w:p>
    <w:p w:rsidR="00D801B0" w:rsidRDefault="00D801B0" w:rsidP="00D801B0">
      <w:pPr>
        <w:pStyle w:val="ListParagraph"/>
        <w:numPr>
          <w:ilvl w:val="0"/>
          <w:numId w:val="38"/>
        </w:numPr>
        <w:spacing w:before="60" w:after="60" w:line="276" w:lineRule="auto"/>
        <w:jc w:val="left"/>
      </w:pPr>
      <w:r>
        <w:t>Select the new envelope and Activate it</w:t>
      </w:r>
    </w:p>
    <w:p w:rsidR="00D801B0" w:rsidRDefault="00D801B0" w:rsidP="00750DA5">
      <w:pPr>
        <w:pStyle w:val="ListParagraph"/>
      </w:pPr>
    </w:p>
    <w:p w:rsidR="00D801B0" w:rsidRDefault="00E7197F" w:rsidP="00750DA5">
      <w:pPr>
        <w:pStyle w:val="ListParagraph"/>
      </w:pPr>
      <w:r>
        <w:rPr>
          <w:noProof/>
          <w:lang w:val="el-GR" w:eastAsia="el-GR"/>
        </w:rPr>
        <w:drawing>
          <wp:inline distT="0" distB="0" distL="0" distR="0">
            <wp:extent cx="5619750" cy="327660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5619750" cy="3276600"/>
                    </a:xfrm>
                    <a:prstGeom prst="rect">
                      <a:avLst/>
                    </a:prstGeom>
                    <a:noFill/>
                    <a:ln w="9525">
                      <a:noFill/>
                      <a:miter lim="800000"/>
                      <a:headEnd/>
                      <a:tailEnd/>
                    </a:ln>
                  </pic:spPr>
                </pic:pic>
              </a:graphicData>
            </a:graphic>
          </wp:inline>
        </w:drawing>
      </w:r>
    </w:p>
    <w:p w:rsidR="00D801B0" w:rsidRPr="00F82505" w:rsidRDefault="00D801B0" w:rsidP="00750DA5">
      <w:pPr>
        <w:pStyle w:val="ListParagraph"/>
      </w:pPr>
    </w:p>
    <w:p w:rsidR="00D801B0" w:rsidRDefault="00D801B0" w:rsidP="00D801B0">
      <w:pPr>
        <w:pStyle w:val="ListParagraph"/>
        <w:numPr>
          <w:ilvl w:val="0"/>
          <w:numId w:val="38"/>
        </w:numPr>
        <w:spacing w:before="60" w:after="60" w:line="276" w:lineRule="auto"/>
        <w:jc w:val="left"/>
      </w:pPr>
      <w:r>
        <w:t>The envelope is now active and one can open an empty measures questionnaire and an empty exceptions questionnaire.</w:t>
      </w:r>
    </w:p>
    <w:p w:rsidR="00D801B0" w:rsidRDefault="00D801B0" w:rsidP="00750DA5">
      <w:pPr>
        <w:pStyle w:val="ListParagraph"/>
      </w:pPr>
    </w:p>
    <w:p w:rsidR="00D801B0" w:rsidRDefault="00E7197F" w:rsidP="00D801B0">
      <w:pPr>
        <w:pStyle w:val="ListParagraph"/>
      </w:pPr>
      <w:r>
        <w:rPr>
          <w:noProof/>
          <w:lang w:val="el-GR" w:eastAsia="el-GR"/>
        </w:rPr>
        <w:lastRenderedPageBreak/>
        <w:drawing>
          <wp:inline distT="0" distB="0" distL="0" distR="0">
            <wp:extent cx="5619750" cy="322897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619750" cy="3228975"/>
                    </a:xfrm>
                    <a:prstGeom prst="rect">
                      <a:avLst/>
                    </a:prstGeom>
                    <a:noFill/>
                    <a:ln w="9525">
                      <a:noFill/>
                      <a:miter lim="800000"/>
                      <a:headEnd/>
                      <a:tailEnd/>
                    </a:ln>
                  </pic:spPr>
                </pic:pic>
              </a:graphicData>
            </a:graphic>
          </wp:inline>
        </w:drawing>
      </w:r>
    </w:p>
    <w:p w:rsidR="00D801B0" w:rsidRDefault="00D801B0" w:rsidP="00D801B0">
      <w:pPr>
        <w:pStyle w:val="ListParagraph"/>
      </w:pPr>
    </w:p>
    <w:p w:rsidR="00D801B0" w:rsidRDefault="00D801B0" w:rsidP="00D801B0">
      <w:pPr>
        <w:pStyle w:val="Heading1"/>
      </w:pPr>
      <w:bookmarkStart w:id="14" w:name="_Toc431801746"/>
      <w:r>
        <w:t>The questionnaire</w:t>
      </w:r>
      <w:bookmarkEnd w:id="14"/>
    </w:p>
    <w:p w:rsidR="00D801B0" w:rsidRDefault="00D801B0" w:rsidP="00750DA5">
      <w:pPr>
        <w:rPr>
          <w:rFonts w:cs="Arial"/>
        </w:rPr>
      </w:pPr>
      <w:r>
        <w:rPr>
          <w:rFonts w:cs="Arial"/>
        </w:rPr>
        <w:t>The questionnaire will help you fill in either the measure.xml or the exception.xml. The questionnaire is more or less the same for measures and exceptions. The guide is based on a measure questionnaire.</w:t>
      </w:r>
    </w:p>
    <w:p w:rsidR="00D801B0" w:rsidRDefault="00D801B0" w:rsidP="00750DA5">
      <w:pPr>
        <w:rPr>
          <w:rFonts w:cs="Arial"/>
        </w:rPr>
      </w:pPr>
      <w:r>
        <w:rPr>
          <w:rFonts w:cs="Arial"/>
        </w:rPr>
        <w:t xml:space="preserve">Select ‘Add and edit…’ on the Draft delivery page to start the questionnaire. See bullet point 6 in the previous section. </w:t>
      </w:r>
    </w:p>
    <w:p w:rsidR="00D801B0" w:rsidRDefault="00D801B0" w:rsidP="00750DA5">
      <w:pPr>
        <w:rPr>
          <w:rFonts w:cs="Arial"/>
        </w:rPr>
      </w:pPr>
      <w:r>
        <w:rPr>
          <w:rFonts w:cs="Arial"/>
        </w:rPr>
        <w:t>The figure shows the questionnaire. It uses a tabular layout where the left column shows the questions, the middle column contains the answers and the right column shows some guidance remarks.</w:t>
      </w:r>
    </w:p>
    <w:p w:rsidR="00D801B0" w:rsidRDefault="00D801B0" w:rsidP="00750DA5">
      <w:pPr>
        <w:rPr>
          <w:rFonts w:cs="Arial"/>
        </w:rPr>
      </w:pPr>
      <w:r>
        <w:rPr>
          <w:rFonts w:cs="Arial"/>
        </w:rPr>
        <w:t>Some questions allows multiple answers. In these cases a ‘+’ and ‘-‘ button is shown next to the answer. Use these buttons to add or remove additional answers.</w:t>
      </w:r>
    </w:p>
    <w:p w:rsidR="00D801B0" w:rsidRDefault="00E7197F" w:rsidP="00750DA5">
      <w:pPr>
        <w:rPr>
          <w:rFonts w:cs="Arial"/>
        </w:rPr>
      </w:pPr>
      <w:r>
        <w:rPr>
          <w:rFonts w:cs="Arial"/>
          <w:noProof/>
          <w:lang w:val="el-GR" w:eastAsia="el-GR"/>
        </w:rPr>
        <w:lastRenderedPageBreak/>
        <w:drawing>
          <wp:inline distT="0" distB="0" distL="0" distR="0">
            <wp:extent cx="5610225" cy="4019550"/>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610225" cy="4019550"/>
                    </a:xfrm>
                    <a:prstGeom prst="rect">
                      <a:avLst/>
                    </a:prstGeom>
                    <a:noFill/>
                    <a:ln w="9525">
                      <a:noFill/>
                      <a:miter lim="800000"/>
                      <a:headEnd/>
                      <a:tailEnd/>
                    </a:ln>
                  </pic:spPr>
                </pic:pic>
              </a:graphicData>
            </a:graphic>
          </wp:inline>
        </w:drawing>
      </w:r>
    </w:p>
    <w:p w:rsidR="00D801B0" w:rsidRDefault="00D801B0" w:rsidP="00750DA5">
      <w:pPr>
        <w:rPr>
          <w:rFonts w:cs="Arial"/>
        </w:rPr>
      </w:pPr>
    </w:p>
    <w:p w:rsidR="00D801B0" w:rsidRDefault="00D801B0" w:rsidP="00750DA5">
      <w:pPr>
        <w:rPr>
          <w:rFonts w:cs="Arial"/>
        </w:rPr>
      </w:pPr>
      <w:r>
        <w:rPr>
          <w:rFonts w:cs="Arial"/>
        </w:rPr>
        <w:t>Scrolling down the questionnaire will take you to the Measure section. This section is called Exceptions in the Exceptions questionnaire.</w:t>
      </w:r>
    </w:p>
    <w:p w:rsidR="00D801B0" w:rsidRDefault="00E7197F" w:rsidP="00750DA5">
      <w:pPr>
        <w:rPr>
          <w:rFonts w:cs="Arial"/>
        </w:rPr>
      </w:pPr>
      <w:r>
        <w:rPr>
          <w:rFonts w:cs="Arial"/>
          <w:noProof/>
          <w:lang w:val="el-GR" w:eastAsia="el-GR"/>
        </w:rPr>
        <w:drawing>
          <wp:inline distT="0" distB="0" distL="0" distR="0">
            <wp:extent cx="5610225" cy="3990975"/>
            <wp:effectExtent l="19050" t="0" r="9525"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5610225" cy="3990975"/>
                    </a:xfrm>
                    <a:prstGeom prst="rect">
                      <a:avLst/>
                    </a:prstGeom>
                    <a:noFill/>
                    <a:ln w="9525">
                      <a:noFill/>
                      <a:miter lim="800000"/>
                      <a:headEnd/>
                      <a:tailEnd/>
                    </a:ln>
                  </pic:spPr>
                </pic:pic>
              </a:graphicData>
            </a:graphic>
          </wp:inline>
        </w:drawing>
      </w:r>
    </w:p>
    <w:p w:rsidR="00D801B0" w:rsidRDefault="00D801B0" w:rsidP="00750DA5">
      <w:pPr>
        <w:rPr>
          <w:rFonts w:cs="Arial"/>
        </w:rPr>
      </w:pPr>
      <w:r>
        <w:rPr>
          <w:rFonts w:cs="Arial"/>
        </w:rPr>
        <w:lastRenderedPageBreak/>
        <w:t>In the Measures section there is a list of all the measures that is included in the report. One can use the edit button to view and edit a measure. The row without the edit button is currently shown in the Edit Measures section. The copy button will add a copy of the measure to the end of the list. Delete will remove the measure.</w:t>
      </w:r>
    </w:p>
    <w:p w:rsidR="00D801B0" w:rsidRDefault="00D801B0" w:rsidP="00750DA5">
      <w:pPr>
        <w:rPr>
          <w:rFonts w:cs="Arial"/>
        </w:rPr>
      </w:pPr>
      <w:r>
        <w:rPr>
          <w:rFonts w:cs="Arial"/>
        </w:rPr>
        <w:t xml:space="preserve">One can also use the ‘New Measure’ button to add an empty measure. The ‘New Measure’ and a ‘Copy Measure’ button is available below the ‘Edit Measures’ section. </w:t>
      </w:r>
    </w:p>
    <w:p w:rsidR="00D801B0" w:rsidRDefault="00D801B0" w:rsidP="00D801B0">
      <w:pPr>
        <w:pStyle w:val="Heading2"/>
        <w:keepNext w:val="0"/>
        <w:keepLines w:val="0"/>
        <w:numPr>
          <w:ilvl w:val="1"/>
          <w:numId w:val="43"/>
        </w:numPr>
        <w:suppressAutoHyphens/>
        <w:spacing w:before="480" w:after="120" w:line="276" w:lineRule="auto"/>
        <w:contextualSpacing/>
        <w:jc w:val="left"/>
      </w:pPr>
      <w:bookmarkStart w:id="15" w:name="_Toc431801747"/>
      <w:r>
        <w:t>Controls</w:t>
      </w:r>
      <w:bookmarkEnd w:id="15"/>
    </w:p>
    <w:p w:rsidR="00D801B0" w:rsidRDefault="00D801B0" w:rsidP="00750DA5">
      <w:pPr>
        <w:rPr>
          <w:rFonts w:cs="Arial"/>
        </w:rPr>
      </w:pPr>
      <w:r>
        <w:rPr>
          <w:rFonts w:cs="Arial"/>
        </w:rPr>
        <w:t>The bottom of the browser window contains a series of controls.</w:t>
      </w:r>
    </w:p>
    <w:p w:rsidR="00D801B0" w:rsidRDefault="00D801B0" w:rsidP="00D801B0">
      <w:pPr>
        <w:pStyle w:val="ListParagraph"/>
        <w:numPr>
          <w:ilvl w:val="0"/>
          <w:numId w:val="40"/>
        </w:numPr>
        <w:spacing w:before="60" w:after="60" w:line="276" w:lineRule="auto"/>
        <w:jc w:val="left"/>
      </w:pPr>
      <w:r>
        <w:t>‘</w:t>
      </w:r>
      <w:r w:rsidRPr="00AC36B0">
        <w:t>Save</w:t>
      </w:r>
      <w:r>
        <w:t>’</w:t>
      </w:r>
      <w:r w:rsidRPr="00AC36B0">
        <w:t xml:space="preserve"> will save the answers in measure.xml and run a validation check. A dialog box will prompt you with a success/failure message.</w:t>
      </w:r>
    </w:p>
    <w:p w:rsidR="00D801B0" w:rsidRDefault="00D801B0" w:rsidP="00D801B0">
      <w:pPr>
        <w:pStyle w:val="ListParagraph"/>
        <w:numPr>
          <w:ilvl w:val="0"/>
          <w:numId w:val="40"/>
        </w:numPr>
        <w:spacing w:before="60" w:after="60" w:line="276" w:lineRule="auto"/>
        <w:jc w:val="left"/>
      </w:pPr>
      <w:r>
        <w:t>‘</w:t>
      </w:r>
      <w:r w:rsidRPr="00AC36B0">
        <w:t>Validation On/Off</w:t>
      </w:r>
      <w:r>
        <w:t>’</w:t>
      </w:r>
      <w:r w:rsidRPr="00AC36B0">
        <w:t xml:space="preserve"> toggles validation on or off. The validation is automatically turned on after saving.</w:t>
      </w:r>
    </w:p>
    <w:p w:rsidR="00D801B0" w:rsidRDefault="00D801B0" w:rsidP="00D801B0">
      <w:pPr>
        <w:pStyle w:val="ListParagraph"/>
        <w:numPr>
          <w:ilvl w:val="0"/>
          <w:numId w:val="40"/>
        </w:numPr>
        <w:spacing w:before="60" w:after="60" w:line="276" w:lineRule="auto"/>
        <w:jc w:val="left"/>
      </w:pPr>
      <w:r>
        <w:t>‘</w:t>
      </w:r>
      <w:r w:rsidRPr="00AC36B0">
        <w:t>Close</w:t>
      </w:r>
      <w:r>
        <w:t>’</w:t>
      </w:r>
      <w:r w:rsidRPr="00AC36B0">
        <w:t xml:space="preserve"> will close the questionnaire and bring you back to the envelope.</w:t>
      </w:r>
    </w:p>
    <w:p w:rsidR="00D801B0" w:rsidRPr="00AC36B0" w:rsidRDefault="00D801B0" w:rsidP="00D801B0">
      <w:pPr>
        <w:pStyle w:val="ListParagraph"/>
        <w:numPr>
          <w:ilvl w:val="0"/>
          <w:numId w:val="40"/>
        </w:numPr>
        <w:spacing w:before="60" w:after="60" w:line="276" w:lineRule="auto"/>
        <w:jc w:val="left"/>
      </w:pPr>
      <w:r>
        <w:t>‘Print’ will open a new tab in your browser with a report of the answers.</w:t>
      </w:r>
    </w:p>
    <w:p w:rsidR="00D801B0" w:rsidRDefault="00D801B0" w:rsidP="00D801B0">
      <w:pPr>
        <w:rPr>
          <w:rFonts w:cs="Arial"/>
        </w:rPr>
      </w:pPr>
      <w:r>
        <w:rPr>
          <w:rFonts w:cs="Arial"/>
        </w:rPr>
        <w:t>On the right side, there is a ‘Filter drop-down options’ checkbox. This option influences the content of the dropdown list for regions, marine unit ID’s and environmental targets. For example, when the filter is on the region drop down list only shows regions that the current member state reported for in the article 10 reporting. Turning the filter off will show all available regions.</w:t>
      </w:r>
    </w:p>
    <w:p w:rsidR="00D801B0" w:rsidRPr="00B641D2" w:rsidRDefault="00D801B0" w:rsidP="00D801B0">
      <w:pPr>
        <w:pStyle w:val="Heading1"/>
        <w:rPr>
          <w:lang w:val="en-US"/>
        </w:rPr>
      </w:pPr>
      <w:bookmarkStart w:id="16" w:name="_Toc431801748"/>
      <w:r w:rsidRPr="00E5776F">
        <w:rPr>
          <w:lang w:val="en-US"/>
        </w:rPr>
        <w:t xml:space="preserve">Name file and copying for a </w:t>
      </w:r>
      <w:r>
        <w:rPr>
          <w:lang w:val="en-US"/>
        </w:rPr>
        <w:t>different</w:t>
      </w:r>
      <w:r w:rsidRPr="00E5776F">
        <w:rPr>
          <w:lang w:val="en-US"/>
        </w:rPr>
        <w:t xml:space="preserve"> (sub)</w:t>
      </w:r>
      <w:r>
        <w:rPr>
          <w:lang w:val="en-US"/>
        </w:rPr>
        <w:t xml:space="preserve"> </w:t>
      </w:r>
      <w:r w:rsidRPr="00E5776F">
        <w:rPr>
          <w:lang w:val="en-US"/>
        </w:rPr>
        <w:t>region</w:t>
      </w:r>
      <w:bookmarkEnd w:id="16"/>
    </w:p>
    <w:p w:rsidR="00D801B0" w:rsidRDefault="00D801B0" w:rsidP="00750DA5">
      <w:pPr>
        <w:rPr>
          <w:lang w:val="en-US"/>
        </w:rPr>
      </w:pPr>
      <w:r>
        <w:rPr>
          <w:lang w:val="en-US"/>
        </w:rPr>
        <w:t>This section will focus on how to rename the measure.xml and exception.xml. It also explains how to make a copy of the xml file and use it for a different (sub) region.</w:t>
      </w:r>
    </w:p>
    <w:p w:rsidR="00D801B0" w:rsidRPr="00397A84" w:rsidRDefault="00D801B0" w:rsidP="00D801B0">
      <w:pPr>
        <w:pStyle w:val="Heading2"/>
        <w:keepNext w:val="0"/>
        <w:keepLines w:val="0"/>
        <w:suppressAutoHyphens/>
        <w:spacing w:before="480" w:after="120" w:line="276" w:lineRule="auto"/>
        <w:contextualSpacing/>
        <w:jc w:val="left"/>
        <w:rPr>
          <w:lang w:val="en-US"/>
        </w:rPr>
      </w:pPr>
      <w:bookmarkStart w:id="17" w:name="_Toc431801749"/>
      <w:r w:rsidRPr="00397A84">
        <w:rPr>
          <w:lang w:val="en-US"/>
        </w:rPr>
        <w:t>File naming</w:t>
      </w:r>
      <w:bookmarkEnd w:id="17"/>
    </w:p>
    <w:p w:rsidR="00D801B0" w:rsidRDefault="00D801B0" w:rsidP="00750DA5">
      <w:pPr>
        <w:rPr>
          <w:lang w:val="en-US"/>
        </w:rPr>
      </w:pPr>
      <w:r w:rsidRPr="00397A84">
        <w:rPr>
          <w:lang w:val="en-US"/>
        </w:rPr>
        <w:t>After filling in the xml file through the webform, one should rename the file according to the recommended file name pattern: Region, Country, Measures or Exceptions and a date stamp (YYYYMMDD). For example BALDK_Measures_20150615.xml</w:t>
      </w:r>
    </w:p>
    <w:p w:rsidR="00D801B0" w:rsidRPr="00397A84" w:rsidRDefault="00D801B0" w:rsidP="00750DA5">
      <w:pPr>
        <w:rPr>
          <w:lang w:val="en-US"/>
        </w:rPr>
      </w:pPr>
    </w:p>
    <w:p w:rsidR="00D801B0" w:rsidRPr="00397A84" w:rsidRDefault="00E7197F" w:rsidP="00750DA5">
      <w:pPr>
        <w:rPr>
          <w:lang w:val="en-US"/>
        </w:rPr>
      </w:pPr>
      <w:r>
        <w:rPr>
          <w:noProof/>
          <w:lang w:val="el-GR" w:eastAsia="el-GR"/>
        </w:rPr>
        <w:drawing>
          <wp:inline distT="0" distB="0" distL="0" distR="0">
            <wp:extent cx="5610225" cy="1076325"/>
            <wp:effectExtent l="19050" t="0" r="9525"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5610225" cy="1076325"/>
                    </a:xfrm>
                    <a:prstGeom prst="rect">
                      <a:avLst/>
                    </a:prstGeom>
                    <a:noFill/>
                    <a:ln w="9525">
                      <a:noFill/>
                      <a:miter lim="800000"/>
                      <a:headEnd/>
                      <a:tailEnd/>
                    </a:ln>
                  </pic:spPr>
                </pic:pic>
              </a:graphicData>
            </a:graphic>
          </wp:inline>
        </w:drawing>
      </w:r>
      <w:r w:rsidR="00D801B0" w:rsidRPr="00397A84">
        <w:rPr>
          <w:lang w:val="en-US"/>
        </w:rPr>
        <w:t xml:space="preserve"> </w:t>
      </w:r>
    </w:p>
    <w:p w:rsidR="00D801B0" w:rsidRPr="00397A84" w:rsidRDefault="00D801B0" w:rsidP="00D801B0">
      <w:pPr>
        <w:pStyle w:val="Heading2"/>
        <w:keepNext w:val="0"/>
        <w:keepLines w:val="0"/>
        <w:suppressAutoHyphens/>
        <w:spacing w:before="480" w:after="120" w:line="276" w:lineRule="auto"/>
        <w:contextualSpacing/>
        <w:jc w:val="left"/>
        <w:rPr>
          <w:lang w:val="en-US"/>
        </w:rPr>
      </w:pPr>
      <w:bookmarkStart w:id="18" w:name="_Toc431801750"/>
      <w:r w:rsidRPr="00397A84">
        <w:rPr>
          <w:lang w:val="en-US"/>
        </w:rPr>
        <w:t>Multiple regions</w:t>
      </w:r>
      <w:bookmarkEnd w:id="18"/>
    </w:p>
    <w:p w:rsidR="00D801B0" w:rsidRDefault="00D801B0" w:rsidP="00750DA5">
      <w:pPr>
        <w:rPr>
          <w:lang w:val="en-US"/>
        </w:rPr>
      </w:pPr>
      <w:r w:rsidRPr="00397A84">
        <w:rPr>
          <w:lang w:val="en-US"/>
        </w:rPr>
        <w:t xml:space="preserve">It is possible to complete a </w:t>
      </w:r>
      <w:r>
        <w:rPr>
          <w:lang w:val="en-US"/>
        </w:rPr>
        <w:t xml:space="preserve">(sub) </w:t>
      </w:r>
      <w:r w:rsidRPr="00397A84">
        <w:rPr>
          <w:lang w:val="en-US"/>
        </w:rPr>
        <w:t xml:space="preserve">report for one region, copy the xml file and update the copy for a </w:t>
      </w:r>
      <w:r>
        <w:rPr>
          <w:lang w:val="en-US"/>
        </w:rPr>
        <w:t>different</w:t>
      </w:r>
      <w:r w:rsidRPr="00397A84">
        <w:rPr>
          <w:lang w:val="en-US"/>
        </w:rPr>
        <w:t xml:space="preserve"> region</w:t>
      </w:r>
      <w:r>
        <w:rPr>
          <w:lang w:val="en-US"/>
        </w:rPr>
        <w:t xml:space="preserve"> or subregion</w:t>
      </w:r>
      <w:r w:rsidRPr="00397A84">
        <w:rPr>
          <w:lang w:val="en-US"/>
        </w:rPr>
        <w:t>.</w:t>
      </w:r>
    </w:p>
    <w:p w:rsidR="00D801B0" w:rsidRPr="00397A84" w:rsidRDefault="00D801B0" w:rsidP="00750DA5">
      <w:pPr>
        <w:rPr>
          <w:lang w:val="en-US"/>
        </w:rPr>
      </w:pPr>
    </w:p>
    <w:p w:rsidR="00D801B0" w:rsidRPr="00397A84" w:rsidRDefault="00E7197F" w:rsidP="00750DA5">
      <w:pPr>
        <w:rPr>
          <w:lang w:val="en-US"/>
        </w:rPr>
      </w:pPr>
      <w:r>
        <w:rPr>
          <w:noProof/>
          <w:lang w:val="el-GR" w:eastAsia="el-GR"/>
        </w:rPr>
        <w:lastRenderedPageBreak/>
        <w:drawing>
          <wp:inline distT="0" distB="0" distL="0" distR="0">
            <wp:extent cx="5610225" cy="1076325"/>
            <wp:effectExtent l="19050" t="0" r="9525"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5610225" cy="1076325"/>
                    </a:xfrm>
                    <a:prstGeom prst="rect">
                      <a:avLst/>
                    </a:prstGeom>
                    <a:noFill/>
                    <a:ln w="9525">
                      <a:noFill/>
                      <a:miter lim="800000"/>
                      <a:headEnd/>
                      <a:tailEnd/>
                    </a:ln>
                  </pic:spPr>
                </pic:pic>
              </a:graphicData>
            </a:graphic>
          </wp:inline>
        </w:drawing>
      </w:r>
      <w:r w:rsidR="00D801B0" w:rsidRPr="00397A84">
        <w:rPr>
          <w:lang w:val="en-US"/>
        </w:rPr>
        <w:t xml:space="preserve"> </w:t>
      </w:r>
    </w:p>
    <w:p w:rsidR="00D801B0" w:rsidRDefault="00D801B0" w:rsidP="00750DA5">
      <w:pPr>
        <w:rPr>
          <w:lang w:val="en-US"/>
        </w:rPr>
      </w:pPr>
    </w:p>
    <w:p w:rsidR="00D801B0" w:rsidRPr="00397A84" w:rsidRDefault="00D801B0" w:rsidP="00750DA5">
      <w:pPr>
        <w:rPr>
          <w:lang w:val="en-US"/>
        </w:rPr>
      </w:pPr>
      <w:r w:rsidRPr="00397A84">
        <w:rPr>
          <w:lang w:val="en-US"/>
        </w:rPr>
        <w:t>Select the file you would like to copy. Red circle.</w:t>
      </w:r>
    </w:p>
    <w:p w:rsidR="00D801B0" w:rsidRDefault="00D801B0" w:rsidP="00750DA5">
      <w:pPr>
        <w:rPr>
          <w:lang w:val="en-US"/>
        </w:rPr>
      </w:pPr>
      <w:r w:rsidRPr="00397A84">
        <w:rPr>
          <w:lang w:val="en-US"/>
        </w:rPr>
        <w:t>Press Copy and then Paste to make a copy of the selected file.</w:t>
      </w:r>
    </w:p>
    <w:p w:rsidR="00D801B0" w:rsidRPr="00397A84" w:rsidRDefault="00D801B0" w:rsidP="00750DA5">
      <w:pPr>
        <w:rPr>
          <w:lang w:val="en-US"/>
        </w:rPr>
      </w:pPr>
    </w:p>
    <w:p w:rsidR="00D801B0" w:rsidRPr="00397A84" w:rsidRDefault="00E7197F" w:rsidP="00750DA5">
      <w:pPr>
        <w:rPr>
          <w:lang w:val="en-US"/>
        </w:rPr>
      </w:pPr>
      <w:r>
        <w:rPr>
          <w:noProof/>
          <w:lang w:val="el-GR" w:eastAsia="el-GR"/>
        </w:rPr>
        <w:drawing>
          <wp:inline distT="0" distB="0" distL="0" distR="0">
            <wp:extent cx="5610225" cy="1228725"/>
            <wp:effectExtent l="19050" t="0" r="9525"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5610225" cy="1228725"/>
                    </a:xfrm>
                    <a:prstGeom prst="rect">
                      <a:avLst/>
                    </a:prstGeom>
                    <a:noFill/>
                    <a:ln w="9525">
                      <a:noFill/>
                      <a:miter lim="800000"/>
                      <a:headEnd/>
                      <a:tailEnd/>
                    </a:ln>
                  </pic:spPr>
                </pic:pic>
              </a:graphicData>
            </a:graphic>
          </wp:inline>
        </w:drawing>
      </w:r>
      <w:r w:rsidR="00D801B0" w:rsidRPr="00397A84">
        <w:rPr>
          <w:lang w:val="en-US"/>
        </w:rPr>
        <w:t xml:space="preserve"> </w:t>
      </w:r>
    </w:p>
    <w:p w:rsidR="00D801B0" w:rsidRDefault="00D801B0" w:rsidP="00750DA5">
      <w:pPr>
        <w:rPr>
          <w:lang w:val="en-US"/>
        </w:rPr>
      </w:pPr>
    </w:p>
    <w:p w:rsidR="00D801B0" w:rsidRDefault="00D801B0" w:rsidP="00750DA5">
      <w:pPr>
        <w:rPr>
          <w:lang w:val="en-US"/>
        </w:rPr>
      </w:pPr>
      <w:r w:rsidRPr="00397A84">
        <w:rPr>
          <w:lang w:val="en-US"/>
        </w:rPr>
        <w:t>Rename the file and open it in the webform to edit the contents.</w:t>
      </w:r>
    </w:p>
    <w:p w:rsidR="00D801B0" w:rsidRPr="00717328" w:rsidRDefault="00D801B0" w:rsidP="00750DA5">
      <w:pPr>
        <w:rPr>
          <w:lang w:val="en-US"/>
        </w:rPr>
      </w:pPr>
    </w:p>
    <w:p w:rsidR="00D801B0" w:rsidRDefault="00D801B0" w:rsidP="00D801B0">
      <w:pPr>
        <w:rPr>
          <w:rFonts w:cs="Arial"/>
        </w:rPr>
      </w:pPr>
      <w:r>
        <w:t xml:space="preserve">Change the region. The </w:t>
      </w:r>
      <w:r w:rsidRPr="00397A84">
        <w:rPr>
          <w:lang w:val="en-US"/>
        </w:rPr>
        <w:t xml:space="preserve">webform </w:t>
      </w:r>
      <w:r>
        <w:rPr>
          <w:lang w:val="en-US"/>
        </w:rPr>
        <w:t xml:space="preserve">will </w:t>
      </w:r>
      <w:r>
        <w:rPr>
          <w:rFonts w:cs="Arial"/>
        </w:rPr>
        <w:t>automatically update the region part of the Measure code and Exception code when the region is changed. The measures and exceptions references environmental targets that is linked to a specific region. When the region is changed, the webform will attempt to match the environmental targets from the two regions and update them. Validation errors occur when the target matching fails.</w:t>
      </w:r>
    </w:p>
    <w:p w:rsidR="00D801B0" w:rsidRPr="00401F0D" w:rsidRDefault="00D801B0" w:rsidP="00D801B0">
      <w:pPr>
        <w:pStyle w:val="Heading1"/>
        <w:rPr>
          <w:lang w:val="en-US"/>
        </w:rPr>
      </w:pPr>
      <w:bookmarkStart w:id="19" w:name="_Toc431801751"/>
      <w:r w:rsidRPr="007975AA">
        <w:rPr>
          <w:lang w:val="en-US"/>
        </w:rPr>
        <w:t>Finalize the reporting</w:t>
      </w:r>
      <w:bookmarkEnd w:id="19"/>
    </w:p>
    <w:p w:rsidR="00D801B0" w:rsidRPr="00401F0D" w:rsidRDefault="00D801B0" w:rsidP="00750DA5">
      <w:pPr>
        <w:rPr>
          <w:lang w:val="en-US"/>
        </w:rPr>
      </w:pPr>
    </w:p>
    <w:p w:rsidR="00D801B0" w:rsidRDefault="00D801B0" w:rsidP="00D801B0">
      <w:pPr>
        <w:pStyle w:val="ListParagraph"/>
        <w:numPr>
          <w:ilvl w:val="0"/>
          <w:numId w:val="42"/>
        </w:numPr>
        <w:spacing w:before="60" w:after="60" w:line="276" w:lineRule="auto"/>
        <w:jc w:val="left"/>
      </w:pPr>
      <w:r>
        <w:t>After completing the questionnaires and renaming the files, the envelope view look somewhat like this:</w:t>
      </w:r>
    </w:p>
    <w:p w:rsidR="00D801B0" w:rsidRDefault="00E7197F" w:rsidP="00D801B0">
      <w:pPr>
        <w:pStyle w:val="ListParagraph"/>
        <w:numPr>
          <w:ilvl w:val="0"/>
          <w:numId w:val="42"/>
        </w:numPr>
        <w:spacing w:before="60" w:after="60" w:line="276" w:lineRule="auto"/>
        <w:jc w:val="left"/>
      </w:pPr>
      <w:r>
        <w:rPr>
          <w:noProof/>
          <w:lang w:val="el-GR" w:eastAsia="el-GR"/>
        </w:rPr>
        <w:lastRenderedPageBreak/>
        <w:drawing>
          <wp:inline distT="0" distB="0" distL="0" distR="0">
            <wp:extent cx="5619750" cy="3390900"/>
            <wp:effectExtent l="1905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5619750" cy="3390900"/>
                    </a:xfrm>
                    <a:prstGeom prst="rect">
                      <a:avLst/>
                    </a:prstGeom>
                    <a:noFill/>
                    <a:ln w="9525">
                      <a:noFill/>
                      <a:miter lim="800000"/>
                      <a:headEnd/>
                      <a:tailEnd/>
                    </a:ln>
                  </pic:spPr>
                </pic:pic>
              </a:graphicData>
            </a:graphic>
          </wp:inline>
        </w:drawing>
      </w:r>
    </w:p>
    <w:p w:rsidR="00D801B0" w:rsidRDefault="00D801B0" w:rsidP="00750DA5">
      <w:pPr>
        <w:pStyle w:val="ListParagraph"/>
      </w:pPr>
    </w:p>
    <w:p w:rsidR="00D801B0" w:rsidRDefault="00D801B0" w:rsidP="00750DA5">
      <w:pPr>
        <w:pStyle w:val="ListParagraph"/>
      </w:pPr>
      <w:r>
        <w:t xml:space="preserve">Red box no. 1: </w:t>
      </w:r>
      <w:r>
        <w:tab/>
        <w:t>One can reopen and modify the questionnaires.</w:t>
      </w:r>
    </w:p>
    <w:p w:rsidR="00D801B0" w:rsidRDefault="00D801B0" w:rsidP="00750DA5">
      <w:pPr>
        <w:pStyle w:val="ListParagraph"/>
      </w:pPr>
      <w:r>
        <w:t xml:space="preserve">Green box no. 2: </w:t>
      </w:r>
      <w:r>
        <w:tab/>
        <w:t>Use the ‘Run QA’ buttons to run the QA scripts on the xml files.</w:t>
      </w:r>
    </w:p>
    <w:p w:rsidR="00D801B0" w:rsidRDefault="00D801B0" w:rsidP="00750DA5">
      <w:pPr>
        <w:pStyle w:val="ListParagraph"/>
        <w:ind w:left="2608" w:hanging="1888"/>
      </w:pPr>
      <w:r>
        <w:t>Blue box no. 3:</w:t>
      </w:r>
      <w:r>
        <w:tab/>
        <w:t>Use ‘Release the envelope’ when you have finished the questionnaires and the QA’s have run successfully.</w:t>
      </w:r>
    </w:p>
    <w:p w:rsidR="00D801B0" w:rsidRDefault="00D801B0" w:rsidP="00750DA5">
      <w:pPr>
        <w:pStyle w:val="ListParagraph"/>
      </w:pPr>
    </w:p>
    <w:p w:rsidR="00D801B0" w:rsidRDefault="00D801B0" w:rsidP="00D801B0">
      <w:pPr>
        <w:pStyle w:val="ListParagraph"/>
        <w:numPr>
          <w:ilvl w:val="0"/>
          <w:numId w:val="42"/>
        </w:numPr>
        <w:spacing w:before="60" w:after="60" w:line="276" w:lineRule="auto"/>
        <w:jc w:val="left"/>
      </w:pPr>
      <w:r>
        <w:t>When the xml questionnaires are completed and QA has run successfully, release the envelope.</w:t>
      </w:r>
    </w:p>
    <w:p w:rsidR="00D801B0" w:rsidRDefault="00D801B0" w:rsidP="00750DA5">
      <w:pPr>
        <w:pStyle w:val="ListParagraph"/>
      </w:pPr>
      <w:r>
        <w:t>Eionet will re-run the QA’s and the envelope will look somewhat like this:</w:t>
      </w:r>
    </w:p>
    <w:p w:rsidR="00D801B0" w:rsidRPr="007E2AD6" w:rsidRDefault="00E7197F" w:rsidP="00750DA5">
      <w:pPr>
        <w:pStyle w:val="ListParagraph"/>
      </w:pPr>
      <w:r>
        <w:rPr>
          <w:noProof/>
          <w:lang w:val="el-GR" w:eastAsia="el-GR"/>
        </w:rPr>
        <w:lastRenderedPageBreak/>
        <w:drawing>
          <wp:inline distT="0" distB="0" distL="0" distR="0">
            <wp:extent cx="5610225" cy="4248150"/>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610225" cy="4248150"/>
                    </a:xfrm>
                    <a:prstGeom prst="rect">
                      <a:avLst/>
                    </a:prstGeom>
                    <a:noFill/>
                    <a:ln w="9525">
                      <a:noFill/>
                      <a:miter lim="800000"/>
                      <a:headEnd/>
                      <a:tailEnd/>
                    </a:ln>
                  </pic:spPr>
                </pic:pic>
              </a:graphicData>
            </a:graphic>
          </wp:inline>
        </w:drawing>
      </w:r>
    </w:p>
    <w:p w:rsidR="00D801B0" w:rsidRDefault="00D801B0" w:rsidP="00750DA5">
      <w:pPr>
        <w:rPr>
          <w:rFonts w:cs="Arial"/>
        </w:rPr>
      </w:pPr>
    </w:p>
    <w:p w:rsidR="00D801B0" w:rsidRDefault="00D801B0" w:rsidP="00D801B0">
      <w:pPr>
        <w:pStyle w:val="ListParagraph"/>
        <w:numPr>
          <w:ilvl w:val="0"/>
          <w:numId w:val="42"/>
        </w:numPr>
        <w:spacing w:before="60" w:after="60" w:line="276" w:lineRule="auto"/>
        <w:jc w:val="left"/>
        <w:rPr>
          <w:lang w:val="en-US"/>
        </w:rPr>
      </w:pPr>
      <w:r>
        <w:rPr>
          <w:lang w:val="en-US"/>
        </w:rPr>
        <w:t>Clicking ‘Activate task’ will bring up the ‘Finish or go back…’ tab.</w:t>
      </w:r>
    </w:p>
    <w:p w:rsidR="00D801B0" w:rsidRDefault="00D801B0" w:rsidP="00750DA5">
      <w:pPr>
        <w:pStyle w:val="ListParagraph"/>
        <w:rPr>
          <w:lang w:val="en-US"/>
        </w:rPr>
      </w:pPr>
    </w:p>
    <w:p w:rsidR="00D801B0" w:rsidRDefault="00E7197F" w:rsidP="00750DA5">
      <w:pPr>
        <w:pStyle w:val="ListParagraph"/>
        <w:rPr>
          <w:lang w:val="en-US"/>
        </w:rPr>
      </w:pPr>
      <w:r>
        <w:rPr>
          <w:noProof/>
          <w:lang w:val="el-GR" w:eastAsia="el-GR"/>
        </w:rPr>
        <w:drawing>
          <wp:inline distT="0" distB="0" distL="0" distR="0">
            <wp:extent cx="5610225" cy="2809875"/>
            <wp:effectExtent l="19050" t="0" r="9525"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5610225" cy="2809875"/>
                    </a:xfrm>
                    <a:prstGeom prst="rect">
                      <a:avLst/>
                    </a:prstGeom>
                    <a:noFill/>
                    <a:ln w="9525">
                      <a:noFill/>
                      <a:miter lim="800000"/>
                      <a:headEnd/>
                      <a:tailEnd/>
                    </a:ln>
                  </pic:spPr>
                </pic:pic>
              </a:graphicData>
            </a:graphic>
          </wp:inline>
        </w:drawing>
      </w:r>
    </w:p>
    <w:p w:rsidR="00D801B0" w:rsidRDefault="00D801B0" w:rsidP="00750DA5">
      <w:pPr>
        <w:pStyle w:val="ListParagraph"/>
        <w:rPr>
          <w:lang w:val="en-US"/>
        </w:rPr>
      </w:pPr>
      <w:r>
        <w:rPr>
          <w:lang w:val="en-US"/>
        </w:rPr>
        <w:t>If you select ‘Back to drafting’ and ‘Activate task’ you will get back to ‘Draft delivery’ (bullet point 6) and you can continue editing the questionnaires.</w:t>
      </w:r>
    </w:p>
    <w:p w:rsidR="00D801B0" w:rsidRDefault="00D801B0" w:rsidP="00750DA5">
      <w:pPr>
        <w:pStyle w:val="ListParagraph"/>
        <w:rPr>
          <w:lang w:val="en-US"/>
        </w:rPr>
      </w:pPr>
    </w:p>
    <w:p w:rsidR="00D801B0" w:rsidRDefault="00D801B0" w:rsidP="00750DA5">
      <w:pPr>
        <w:pStyle w:val="ListParagraph"/>
        <w:rPr>
          <w:lang w:val="en-US"/>
        </w:rPr>
      </w:pPr>
      <w:r>
        <w:rPr>
          <w:lang w:val="en-US"/>
        </w:rPr>
        <w:t>Select ‘Finish’ finalizes the release of the envelope and reporting is completed.</w:t>
      </w:r>
    </w:p>
    <w:p w:rsidR="00A43A1B" w:rsidRPr="00417913" w:rsidRDefault="00A43A1B" w:rsidP="00E611B8">
      <w:pPr>
        <w:spacing w:before="240"/>
        <w:rPr>
          <w:rStyle w:val="Emphasis"/>
          <w:i w:val="0"/>
          <w:lang w:val="en-US"/>
        </w:rPr>
      </w:pPr>
    </w:p>
    <w:sectPr w:rsidR="00A43A1B" w:rsidRPr="00417913" w:rsidSect="00417913">
      <w:headerReference w:type="default" r:id="rId25"/>
      <w:footerReference w:type="default" r:id="rId26"/>
      <w:pgSz w:w="11906" w:h="16838" w:code="9"/>
      <w:pgMar w:top="1418" w:right="146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B1F" w:rsidRDefault="00F17B1F" w:rsidP="00FE1872">
      <w:pPr>
        <w:spacing w:after="0"/>
      </w:pPr>
      <w:r>
        <w:separator/>
      </w:r>
    </w:p>
  </w:endnote>
  <w:endnote w:type="continuationSeparator" w:id="0">
    <w:p w:rsidR="00F17B1F" w:rsidRDefault="00F17B1F" w:rsidP="00FE1872">
      <w:pPr>
        <w:spacing w:after="0"/>
      </w:pPr>
      <w:r>
        <w:continuationSeparator/>
      </w:r>
    </w:p>
  </w:endnote>
  <w:endnote w:type="continuationNotice" w:id="1">
    <w:p w:rsidR="00F17B1F" w:rsidRDefault="00F17B1F">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Default="00E92C32" w:rsidP="007A18BF">
    <w:pPr>
      <w:pStyle w:val="Footer"/>
      <w:pBdr>
        <w:top w:val="single" w:sz="4" w:space="1" w:color="auto"/>
      </w:pBdr>
      <w:tabs>
        <w:tab w:val="clear" w:pos="4513"/>
        <w:tab w:val="clear" w:pos="9026"/>
        <w:tab w:val="center" w:pos="6804"/>
        <w:tab w:val="right" w:pos="14034"/>
      </w:tabs>
      <w:jc w:val="right"/>
    </w:pPr>
    <w:fldSimple w:instr=" PAGE  \* Arabic  \* MERGEFORMAT ">
      <w:r w:rsidR="00E7197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B1F" w:rsidRDefault="00F17B1F" w:rsidP="00FE1872">
      <w:pPr>
        <w:spacing w:after="0"/>
      </w:pPr>
      <w:r>
        <w:separator/>
      </w:r>
    </w:p>
  </w:footnote>
  <w:footnote w:type="continuationSeparator" w:id="0">
    <w:p w:rsidR="00F17B1F" w:rsidRDefault="00F17B1F" w:rsidP="00FE1872">
      <w:pPr>
        <w:spacing w:after="0"/>
      </w:pPr>
      <w:r>
        <w:continuationSeparator/>
      </w:r>
    </w:p>
  </w:footnote>
  <w:footnote w:type="continuationNotice" w:id="1">
    <w:p w:rsidR="00F17B1F" w:rsidRDefault="00F17B1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32" w:rsidRPr="002169F2" w:rsidRDefault="002169F2" w:rsidP="002169F2">
    <w:pPr>
      <w:pStyle w:val="Header"/>
      <w:jc w:val="right"/>
      <w:rPr>
        <w:b/>
      </w:rPr>
    </w:pPr>
    <w:r w:rsidRPr="002169F2">
      <w:rPr>
        <w:b/>
      </w:rPr>
      <w:t>DIKE_12-2015-0</w:t>
    </w:r>
    <w:r w:rsidR="00E611B8">
      <w:rPr>
        <w:b/>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9A1"/>
    <w:multiLevelType w:val="multilevel"/>
    <w:tmpl w:val="59BA86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6CC77F9"/>
    <w:multiLevelType w:val="hybridMultilevel"/>
    <w:tmpl w:val="CE5EA854"/>
    <w:lvl w:ilvl="0" w:tplc="9D38F69E">
      <w:start w:val="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DB5506"/>
    <w:multiLevelType w:val="hybridMultilevel"/>
    <w:tmpl w:val="2E002E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CA00714"/>
    <w:multiLevelType w:val="hybridMultilevel"/>
    <w:tmpl w:val="52A282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9120C5"/>
    <w:multiLevelType w:val="hybridMultilevel"/>
    <w:tmpl w:val="9BB280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B85AF5"/>
    <w:multiLevelType w:val="multilevel"/>
    <w:tmpl w:val="773A4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EDE155F"/>
    <w:multiLevelType w:val="hybridMultilevel"/>
    <w:tmpl w:val="63DAFB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6735F33"/>
    <w:multiLevelType w:val="hybridMultilevel"/>
    <w:tmpl w:val="EB34EA0C"/>
    <w:lvl w:ilvl="0" w:tplc="959E35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DC1197"/>
    <w:multiLevelType w:val="hybridMultilevel"/>
    <w:tmpl w:val="173A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0E747C"/>
    <w:multiLevelType w:val="hybridMultilevel"/>
    <w:tmpl w:val="F754E6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4D2500E"/>
    <w:multiLevelType w:val="hybridMultilevel"/>
    <w:tmpl w:val="DE08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0A6CC6"/>
    <w:multiLevelType w:val="hybridMultilevel"/>
    <w:tmpl w:val="8E72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D95BD1"/>
    <w:multiLevelType w:val="hybridMultilevel"/>
    <w:tmpl w:val="ED683D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D50154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9953E81"/>
    <w:multiLevelType w:val="hybridMultilevel"/>
    <w:tmpl w:val="46FA343C"/>
    <w:lvl w:ilvl="0" w:tplc="081ED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D42054"/>
    <w:multiLevelType w:val="hybridMultilevel"/>
    <w:tmpl w:val="F16C72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4C36B7"/>
    <w:multiLevelType w:val="multilevel"/>
    <w:tmpl w:val="B38A5738"/>
    <w:lvl w:ilvl="0">
      <w:start w:val="1"/>
      <w:numFmt w:val="lowerLetter"/>
      <w:lvlText w:val="%1."/>
      <w:lvlJc w:val="left"/>
      <w:pPr>
        <w:ind w:left="792" w:hanging="432"/>
      </w:pPr>
      <w:rPr>
        <w:rFonts w:hint="default"/>
      </w:rPr>
    </w:lvl>
    <w:lvl w:ilvl="1">
      <w:start w:val="1"/>
      <w:numFmt w:val="lowerLetter"/>
      <w:lvlText w:val="%2."/>
      <w:lvlJc w:val="left"/>
      <w:pPr>
        <w:ind w:left="1206" w:hanging="576"/>
      </w:pPr>
      <w:rPr>
        <w:rFonts w:hint="default"/>
      </w:rPr>
    </w:lvl>
    <w:lvl w:ilvl="2">
      <w:start w:val="1"/>
      <w:numFmt w:val="decimal"/>
      <w:lvlText w:val="%1.%2.%3"/>
      <w:lvlJc w:val="left"/>
      <w:pPr>
        <w:ind w:left="1080" w:hanging="720"/>
      </w:pPr>
      <w:rPr>
        <w:rFonts w:hint="default"/>
        <w:sz w:val="22"/>
        <w:szCs w:val="22"/>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7">
    <w:nsid w:val="3EC96461"/>
    <w:multiLevelType w:val="hybridMultilevel"/>
    <w:tmpl w:val="5C548A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BF321E"/>
    <w:multiLevelType w:val="hybridMultilevel"/>
    <w:tmpl w:val="D38C19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6729CC"/>
    <w:multiLevelType w:val="hybridMultilevel"/>
    <w:tmpl w:val="4FD87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9B972A5"/>
    <w:multiLevelType w:val="hybridMultilevel"/>
    <w:tmpl w:val="75A839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7222F9"/>
    <w:multiLevelType w:val="hybridMultilevel"/>
    <w:tmpl w:val="71A094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53A34"/>
    <w:multiLevelType w:val="hybridMultilevel"/>
    <w:tmpl w:val="1DFC9B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42B34FF"/>
    <w:multiLevelType w:val="hybridMultilevel"/>
    <w:tmpl w:val="AAAE4BA0"/>
    <w:lvl w:ilvl="0" w:tplc="959E357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A15CB1"/>
    <w:multiLevelType w:val="hybridMultilevel"/>
    <w:tmpl w:val="71068E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7EF417F"/>
    <w:multiLevelType w:val="hybridMultilevel"/>
    <w:tmpl w:val="D87812C0"/>
    <w:lvl w:ilvl="0" w:tplc="081EDD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2F1789"/>
    <w:multiLevelType w:val="hybridMultilevel"/>
    <w:tmpl w:val="4A26E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D5435D"/>
    <w:multiLevelType w:val="hybridMultilevel"/>
    <w:tmpl w:val="10E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161DA1"/>
    <w:multiLevelType w:val="hybridMultilevel"/>
    <w:tmpl w:val="2AC643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7442C7"/>
    <w:multiLevelType w:val="hybridMultilevel"/>
    <w:tmpl w:val="185CD786"/>
    <w:lvl w:ilvl="0" w:tplc="28B4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B172AD"/>
    <w:multiLevelType w:val="hybridMultilevel"/>
    <w:tmpl w:val="49F6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0B6703"/>
    <w:multiLevelType w:val="hybridMultilevel"/>
    <w:tmpl w:val="278CA1C0"/>
    <w:lvl w:ilvl="0" w:tplc="BE7AD938">
      <w:start w:val="1"/>
      <w:numFmt w:val="lowerLetter"/>
      <w:pStyle w:val="CommentReference"/>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2">
    <w:nsid w:val="6CC8062F"/>
    <w:multiLevelType w:val="hybridMultilevel"/>
    <w:tmpl w:val="185CD786"/>
    <w:lvl w:ilvl="0" w:tplc="28B4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CF12CE0"/>
    <w:multiLevelType w:val="hybridMultilevel"/>
    <w:tmpl w:val="B8424FF4"/>
    <w:lvl w:ilvl="0" w:tplc="28B4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CE4266"/>
    <w:multiLevelType w:val="hybridMultilevel"/>
    <w:tmpl w:val="4CC6BEEC"/>
    <w:lvl w:ilvl="0" w:tplc="08090019">
      <w:start w:val="1"/>
      <w:numFmt w:val="lowerLetter"/>
      <w:lvlText w:val="%1."/>
      <w:lvlJc w:val="left"/>
      <w:pPr>
        <w:ind w:left="720" w:hanging="360"/>
      </w:pPr>
    </w:lvl>
    <w:lvl w:ilvl="1" w:tplc="F968A820">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3517C5"/>
    <w:multiLevelType w:val="hybridMultilevel"/>
    <w:tmpl w:val="3C3C16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7053C68"/>
    <w:multiLevelType w:val="hybridMultilevel"/>
    <w:tmpl w:val="A2F4F5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nsid w:val="78E35E2C"/>
    <w:multiLevelType w:val="hybridMultilevel"/>
    <w:tmpl w:val="08F27BAC"/>
    <w:lvl w:ilvl="0" w:tplc="E8A4609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F56966"/>
    <w:multiLevelType w:val="hybridMultilevel"/>
    <w:tmpl w:val="7A1E5F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7E501702"/>
    <w:multiLevelType w:val="hybridMultilevel"/>
    <w:tmpl w:val="B4780D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CA4E38"/>
    <w:multiLevelType w:val="hybridMultilevel"/>
    <w:tmpl w:val="0064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8554F8"/>
    <w:multiLevelType w:val="hybridMultilevel"/>
    <w:tmpl w:val="FBF464C4"/>
    <w:lvl w:ilvl="0" w:tplc="AA7E3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7"/>
  </w:num>
  <w:num w:numId="3">
    <w:abstractNumId w:val="35"/>
  </w:num>
  <w:num w:numId="4">
    <w:abstractNumId w:val="20"/>
  </w:num>
  <w:num w:numId="5">
    <w:abstractNumId w:val="41"/>
  </w:num>
  <w:num w:numId="6">
    <w:abstractNumId w:val="13"/>
  </w:num>
  <w:num w:numId="7">
    <w:abstractNumId w:val="29"/>
  </w:num>
  <w:num w:numId="8">
    <w:abstractNumId w:val="33"/>
  </w:num>
  <w:num w:numId="9">
    <w:abstractNumId w:val="23"/>
  </w:num>
  <w:num w:numId="10">
    <w:abstractNumId w:val="39"/>
  </w:num>
  <w:num w:numId="11">
    <w:abstractNumId w:val="4"/>
  </w:num>
  <w:num w:numId="12">
    <w:abstractNumId w:val="12"/>
  </w:num>
  <w:num w:numId="13">
    <w:abstractNumId w:val="18"/>
  </w:num>
  <w:num w:numId="14">
    <w:abstractNumId w:val="17"/>
  </w:num>
  <w:num w:numId="15">
    <w:abstractNumId w:val="32"/>
  </w:num>
  <w:num w:numId="16">
    <w:abstractNumId w:val="27"/>
  </w:num>
  <w:num w:numId="17">
    <w:abstractNumId w:val="30"/>
  </w:num>
  <w:num w:numId="18">
    <w:abstractNumId w:val="11"/>
  </w:num>
  <w:num w:numId="19">
    <w:abstractNumId w:val="40"/>
  </w:num>
  <w:num w:numId="20">
    <w:abstractNumId w:val="10"/>
  </w:num>
  <w:num w:numId="21">
    <w:abstractNumId w:val="8"/>
  </w:num>
  <w:num w:numId="22">
    <w:abstractNumId w:val="26"/>
  </w:num>
  <w:num w:numId="23">
    <w:abstractNumId w:val="9"/>
  </w:num>
  <w:num w:numId="24">
    <w:abstractNumId w:val="25"/>
  </w:num>
  <w:num w:numId="25">
    <w:abstractNumId w:val="14"/>
  </w:num>
  <w:num w:numId="26">
    <w:abstractNumId w:val="37"/>
  </w:num>
  <w:num w:numId="27">
    <w:abstractNumId w:val="21"/>
  </w:num>
  <w:num w:numId="28">
    <w:abstractNumId w:val="3"/>
  </w:num>
  <w:num w:numId="29">
    <w:abstractNumId w:val="22"/>
  </w:num>
  <w:num w:numId="30">
    <w:abstractNumId w:val="34"/>
  </w:num>
  <w:num w:numId="31">
    <w:abstractNumId w:val="24"/>
  </w:num>
  <w:num w:numId="32">
    <w:abstractNumId w:val="15"/>
  </w:num>
  <w:num w:numId="33">
    <w:abstractNumId w:val="1"/>
  </w:num>
  <w:num w:numId="34">
    <w:abstractNumId w:val="6"/>
  </w:num>
  <w:num w:numId="35">
    <w:abstractNumId w:val="28"/>
  </w:num>
  <w:num w:numId="36">
    <w:abstractNumId w:val="2"/>
  </w:num>
  <w:num w:numId="37">
    <w:abstractNumId w:val="0"/>
  </w:num>
  <w:num w:numId="38">
    <w:abstractNumId w:val="38"/>
  </w:num>
  <w:num w:numId="39">
    <w:abstractNumId w:val="31"/>
  </w:num>
  <w:num w:numId="40">
    <w:abstractNumId w:val="19"/>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3074"/>
  </w:hdrShapeDefaults>
  <w:footnotePr>
    <w:footnote w:id="-1"/>
    <w:footnote w:id="0"/>
    <w:footnote w:id="1"/>
  </w:footnotePr>
  <w:endnotePr>
    <w:endnote w:id="-1"/>
    <w:endnote w:id="0"/>
    <w:endnote w:id="1"/>
  </w:endnotePr>
  <w:compat/>
  <w:docVars>
    <w:docVar w:name="LW_DocType" w:val="NORMAL"/>
  </w:docVars>
  <w:rsids>
    <w:rsidRoot w:val="00FE1872"/>
    <w:rsid w:val="00000EE8"/>
    <w:rsid w:val="00002713"/>
    <w:rsid w:val="00002DC0"/>
    <w:rsid w:val="00006EE6"/>
    <w:rsid w:val="0000716D"/>
    <w:rsid w:val="0000770C"/>
    <w:rsid w:val="00007A41"/>
    <w:rsid w:val="00010619"/>
    <w:rsid w:val="00010C7E"/>
    <w:rsid w:val="00011160"/>
    <w:rsid w:val="00011A40"/>
    <w:rsid w:val="00012979"/>
    <w:rsid w:val="00012B2A"/>
    <w:rsid w:val="0001601B"/>
    <w:rsid w:val="00016D4E"/>
    <w:rsid w:val="00021315"/>
    <w:rsid w:val="00021D56"/>
    <w:rsid w:val="00022049"/>
    <w:rsid w:val="00024349"/>
    <w:rsid w:val="00024B20"/>
    <w:rsid w:val="00027441"/>
    <w:rsid w:val="000278FC"/>
    <w:rsid w:val="00027BD0"/>
    <w:rsid w:val="000312E6"/>
    <w:rsid w:val="00031451"/>
    <w:rsid w:val="00031F18"/>
    <w:rsid w:val="00032E95"/>
    <w:rsid w:val="00035D2E"/>
    <w:rsid w:val="00035D3A"/>
    <w:rsid w:val="00035DD3"/>
    <w:rsid w:val="0003606C"/>
    <w:rsid w:val="00037E67"/>
    <w:rsid w:val="00040250"/>
    <w:rsid w:val="000441D0"/>
    <w:rsid w:val="00044946"/>
    <w:rsid w:val="00045D22"/>
    <w:rsid w:val="000502E1"/>
    <w:rsid w:val="00050468"/>
    <w:rsid w:val="00051946"/>
    <w:rsid w:val="0005269C"/>
    <w:rsid w:val="000540E4"/>
    <w:rsid w:val="000546D6"/>
    <w:rsid w:val="00055AC4"/>
    <w:rsid w:val="000575B8"/>
    <w:rsid w:val="00060167"/>
    <w:rsid w:val="00060468"/>
    <w:rsid w:val="000607AF"/>
    <w:rsid w:val="00061E03"/>
    <w:rsid w:val="00062DA4"/>
    <w:rsid w:val="00062F56"/>
    <w:rsid w:val="000649E5"/>
    <w:rsid w:val="00066379"/>
    <w:rsid w:val="00071184"/>
    <w:rsid w:val="00071DA8"/>
    <w:rsid w:val="00072279"/>
    <w:rsid w:val="00074197"/>
    <w:rsid w:val="00074F8C"/>
    <w:rsid w:val="00075CE8"/>
    <w:rsid w:val="00077B1A"/>
    <w:rsid w:val="00077B49"/>
    <w:rsid w:val="00077F55"/>
    <w:rsid w:val="00080471"/>
    <w:rsid w:val="000816E9"/>
    <w:rsid w:val="00082D3B"/>
    <w:rsid w:val="00084547"/>
    <w:rsid w:val="0008633F"/>
    <w:rsid w:val="00090189"/>
    <w:rsid w:val="000911FD"/>
    <w:rsid w:val="0009153D"/>
    <w:rsid w:val="0009157C"/>
    <w:rsid w:val="00092BD6"/>
    <w:rsid w:val="00094F6E"/>
    <w:rsid w:val="00097571"/>
    <w:rsid w:val="000A6D01"/>
    <w:rsid w:val="000A76CB"/>
    <w:rsid w:val="000A79DA"/>
    <w:rsid w:val="000B19CD"/>
    <w:rsid w:val="000B2AA9"/>
    <w:rsid w:val="000B2AE4"/>
    <w:rsid w:val="000B2DAF"/>
    <w:rsid w:val="000B4BE6"/>
    <w:rsid w:val="000B4CA9"/>
    <w:rsid w:val="000B5E30"/>
    <w:rsid w:val="000B6152"/>
    <w:rsid w:val="000B7C0F"/>
    <w:rsid w:val="000C0A61"/>
    <w:rsid w:val="000C2321"/>
    <w:rsid w:val="000C295D"/>
    <w:rsid w:val="000C3604"/>
    <w:rsid w:val="000C379E"/>
    <w:rsid w:val="000C447B"/>
    <w:rsid w:val="000C4E9D"/>
    <w:rsid w:val="000C6032"/>
    <w:rsid w:val="000C6810"/>
    <w:rsid w:val="000C7523"/>
    <w:rsid w:val="000D54B8"/>
    <w:rsid w:val="000D5BF2"/>
    <w:rsid w:val="000E0535"/>
    <w:rsid w:val="000E4BA2"/>
    <w:rsid w:val="000E4F35"/>
    <w:rsid w:val="000E5C81"/>
    <w:rsid w:val="000E7DAC"/>
    <w:rsid w:val="000F13D7"/>
    <w:rsid w:val="000F2871"/>
    <w:rsid w:val="000F4A03"/>
    <w:rsid w:val="000F507D"/>
    <w:rsid w:val="000F5F3C"/>
    <w:rsid w:val="000F5F5A"/>
    <w:rsid w:val="000F68D6"/>
    <w:rsid w:val="000F7057"/>
    <w:rsid w:val="000F7153"/>
    <w:rsid w:val="000F7C26"/>
    <w:rsid w:val="00100485"/>
    <w:rsid w:val="00101910"/>
    <w:rsid w:val="00102A86"/>
    <w:rsid w:val="0010451B"/>
    <w:rsid w:val="001047E8"/>
    <w:rsid w:val="00104B85"/>
    <w:rsid w:val="00106CB4"/>
    <w:rsid w:val="00106D04"/>
    <w:rsid w:val="00107659"/>
    <w:rsid w:val="00110161"/>
    <w:rsid w:val="001101EF"/>
    <w:rsid w:val="00110292"/>
    <w:rsid w:val="00111586"/>
    <w:rsid w:val="00112623"/>
    <w:rsid w:val="00114A6B"/>
    <w:rsid w:val="00115444"/>
    <w:rsid w:val="00121A18"/>
    <w:rsid w:val="00121DA1"/>
    <w:rsid w:val="001231EE"/>
    <w:rsid w:val="001232E3"/>
    <w:rsid w:val="00125041"/>
    <w:rsid w:val="00125E0D"/>
    <w:rsid w:val="0012727F"/>
    <w:rsid w:val="00130D03"/>
    <w:rsid w:val="00131814"/>
    <w:rsid w:val="001327B4"/>
    <w:rsid w:val="00132A54"/>
    <w:rsid w:val="00132F95"/>
    <w:rsid w:val="001330E9"/>
    <w:rsid w:val="00134311"/>
    <w:rsid w:val="001343A8"/>
    <w:rsid w:val="0013550C"/>
    <w:rsid w:val="0013614C"/>
    <w:rsid w:val="00136749"/>
    <w:rsid w:val="001379CD"/>
    <w:rsid w:val="00137B79"/>
    <w:rsid w:val="00143926"/>
    <w:rsid w:val="00143C68"/>
    <w:rsid w:val="00144E5B"/>
    <w:rsid w:val="00145084"/>
    <w:rsid w:val="00145CD5"/>
    <w:rsid w:val="001515C0"/>
    <w:rsid w:val="00154AAE"/>
    <w:rsid w:val="001555FD"/>
    <w:rsid w:val="00156749"/>
    <w:rsid w:val="00156AF7"/>
    <w:rsid w:val="001613BA"/>
    <w:rsid w:val="0016295B"/>
    <w:rsid w:val="00162B20"/>
    <w:rsid w:val="001651DF"/>
    <w:rsid w:val="001657AC"/>
    <w:rsid w:val="00165AA4"/>
    <w:rsid w:val="0016766A"/>
    <w:rsid w:val="00173286"/>
    <w:rsid w:val="00173349"/>
    <w:rsid w:val="00173BDE"/>
    <w:rsid w:val="00174118"/>
    <w:rsid w:val="00176D75"/>
    <w:rsid w:val="001816E3"/>
    <w:rsid w:val="001835B1"/>
    <w:rsid w:val="0018393D"/>
    <w:rsid w:val="00183A11"/>
    <w:rsid w:val="00184988"/>
    <w:rsid w:val="00186366"/>
    <w:rsid w:val="00187E0C"/>
    <w:rsid w:val="00190F65"/>
    <w:rsid w:val="00191C6D"/>
    <w:rsid w:val="00191E17"/>
    <w:rsid w:val="001926E8"/>
    <w:rsid w:val="001936A6"/>
    <w:rsid w:val="00193DA3"/>
    <w:rsid w:val="001968A0"/>
    <w:rsid w:val="001A0617"/>
    <w:rsid w:val="001A061F"/>
    <w:rsid w:val="001A1D67"/>
    <w:rsid w:val="001A2180"/>
    <w:rsid w:val="001A63C8"/>
    <w:rsid w:val="001A6BB2"/>
    <w:rsid w:val="001B0E46"/>
    <w:rsid w:val="001B163E"/>
    <w:rsid w:val="001B275B"/>
    <w:rsid w:val="001B30C8"/>
    <w:rsid w:val="001B39E9"/>
    <w:rsid w:val="001B4C37"/>
    <w:rsid w:val="001B4D3A"/>
    <w:rsid w:val="001B505A"/>
    <w:rsid w:val="001B6C18"/>
    <w:rsid w:val="001B704D"/>
    <w:rsid w:val="001C00C4"/>
    <w:rsid w:val="001C055C"/>
    <w:rsid w:val="001C11F7"/>
    <w:rsid w:val="001C148B"/>
    <w:rsid w:val="001C3579"/>
    <w:rsid w:val="001C4043"/>
    <w:rsid w:val="001C6132"/>
    <w:rsid w:val="001D13FA"/>
    <w:rsid w:val="001D15C1"/>
    <w:rsid w:val="001D247D"/>
    <w:rsid w:val="001D6C59"/>
    <w:rsid w:val="001D7488"/>
    <w:rsid w:val="001E0727"/>
    <w:rsid w:val="001E0A2F"/>
    <w:rsid w:val="001E1396"/>
    <w:rsid w:val="001E39D4"/>
    <w:rsid w:val="001E3A30"/>
    <w:rsid w:val="001E3A46"/>
    <w:rsid w:val="001E3EF0"/>
    <w:rsid w:val="001E4032"/>
    <w:rsid w:val="001E4B23"/>
    <w:rsid w:val="001E6631"/>
    <w:rsid w:val="001E7C5C"/>
    <w:rsid w:val="001F00F3"/>
    <w:rsid w:val="001F0C89"/>
    <w:rsid w:val="001F10CC"/>
    <w:rsid w:val="001F1126"/>
    <w:rsid w:val="001F20DF"/>
    <w:rsid w:val="001F3E31"/>
    <w:rsid w:val="001F434C"/>
    <w:rsid w:val="001F4C73"/>
    <w:rsid w:val="001F5F56"/>
    <w:rsid w:val="001F7CB9"/>
    <w:rsid w:val="001F7FB7"/>
    <w:rsid w:val="00200B13"/>
    <w:rsid w:val="00203516"/>
    <w:rsid w:val="00204CBA"/>
    <w:rsid w:val="00205750"/>
    <w:rsid w:val="00205863"/>
    <w:rsid w:val="002059FB"/>
    <w:rsid w:val="00205A19"/>
    <w:rsid w:val="00210ACC"/>
    <w:rsid w:val="0021191F"/>
    <w:rsid w:val="0021294C"/>
    <w:rsid w:val="00213005"/>
    <w:rsid w:val="00213319"/>
    <w:rsid w:val="00215427"/>
    <w:rsid w:val="002169F2"/>
    <w:rsid w:val="00217332"/>
    <w:rsid w:val="0022054E"/>
    <w:rsid w:val="00220D92"/>
    <w:rsid w:val="00220EC0"/>
    <w:rsid w:val="0022155B"/>
    <w:rsid w:val="00222DBF"/>
    <w:rsid w:val="00223737"/>
    <w:rsid w:val="00223F8A"/>
    <w:rsid w:val="002252AB"/>
    <w:rsid w:val="00226CF1"/>
    <w:rsid w:val="00231497"/>
    <w:rsid w:val="00231A24"/>
    <w:rsid w:val="002337F1"/>
    <w:rsid w:val="00237480"/>
    <w:rsid w:val="00237D92"/>
    <w:rsid w:val="002400A5"/>
    <w:rsid w:val="002411B8"/>
    <w:rsid w:val="0024153C"/>
    <w:rsid w:val="00242AE8"/>
    <w:rsid w:val="00243361"/>
    <w:rsid w:val="002442AB"/>
    <w:rsid w:val="00245B5C"/>
    <w:rsid w:val="00247A12"/>
    <w:rsid w:val="00247A88"/>
    <w:rsid w:val="00250354"/>
    <w:rsid w:val="00250581"/>
    <w:rsid w:val="00250CFE"/>
    <w:rsid w:val="002510B5"/>
    <w:rsid w:val="00251CC9"/>
    <w:rsid w:val="002529E2"/>
    <w:rsid w:val="00252C3B"/>
    <w:rsid w:val="002534DC"/>
    <w:rsid w:val="00254BEB"/>
    <w:rsid w:val="00254C2C"/>
    <w:rsid w:val="00255B7D"/>
    <w:rsid w:val="00255BF7"/>
    <w:rsid w:val="00256DBD"/>
    <w:rsid w:val="00257243"/>
    <w:rsid w:val="002607C4"/>
    <w:rsid w:val="00260B9D"/>
    <w:rsid w:val="00261A89"/>
    <w:rsid w:val="0026215A"/>
    <w:rsid w:val="002638EE"/>
    <w:rsid w:val="002644EE"/>
    <w:rsid w:val="0026504D"/>
    <w:rsid w:val="00265170"/>
    <w:rsid w:val="00266BFE"/>
    <w:rsid w:val="00267DDF"/>
    <w:rsid w:val="00270D70"/>
    <w:rsid w:val="00271B8F"/>
    <w:rsid w:val="00272169"/>
    <w:rsid w:val="00272825"/>
    <w:rsid w:val="00274E51"/>
    <w:rsid w:val="00276280"/>
    <w:rsid w:val="002803F6"/>
    <w:rsid w:val="00281B96"/>
    <w:rsid w:val="002826C9"/>
    <w:rsid w:val="00282D04"/>
    <w:rsid w:val="00283F44"/>
    <w:rsid w:val="0028508A"/>
    <w:rsid w:val="00285A1F"/>
    <w:rsid w:val="0028656F"/>
    <w:rsid w:val="00286824"/>
    <w:rsid w:val="002868B4"/>
    <w:rsid w:val="00287D93"/>
    <w:rsid w:val="00290285"/>
    <w:rsid w:val="00290573"/>
    <w:rsid w:val="0029142F"/>
    <w:rsid w:val="00292AF5"/>
    <w:rsid w:val="00292E25"/>
    <w:rsid w:val="002943EF"/>
    <w:rsid w:val="00295C38"/>
    <w:rsid w:val="00295FE9"/>
    <w:rsid w:val="0029687D"/>
    <w:rsid w:val="00296C03"/>
    <w:rsid w:val="00297B95"/>
    <w:rsid w:val="00297FFD"/>
    <w:rsid w:val="002A01E7"/>
    <w:rsid w:val="002A1B96"/>
    <w:rsid w:val="002A3DE2"/>
    <w:rsid w:val="002A6873"/>
    <w:rsid w:val="002A7E1F"/>
    <w:rsid w:val="002B0448"/>
    <w:rsid w:val="002B212F"/>
    <w:rsid w:val="002B2D8D"/>
    <w:rsid w:val="002B5C3C"/>
    <w:rsid w:val="002B6EEC"/>
    <w:rsid w:val="002C1F86"/>
    <w:rsid w:val="002C2E2B"/>
    <w:rsid w:val="002C6A06"/>
    <w:rsid w:val="002D10F5"/>
    <w:rsid w:val="002D122A"/>
    <w:rsid w:val="002D3576"/>
    <w:rsid w:val="002E04D7"/>
    <w:rsid w:val="002F0E05"/>
    <w:rsid w:val="002F152B"/>
    <w:rsid w:val="002F1D2D"/>
    <w:rsid w:val="002F7409"/>
    <w:rsid w:val="00300446"/>
    <w:rsid w:val="0030259C"/>
    <w:rsid w:val="00303043"/>
    <w:rsid w:val="0030364E"/>
    <w:rsid w:val="00305BCF"/>
    <w:rsid w:val="00307FB2"/>
    <w:rsid w:val="00310872"/>
    <w:rsid w:val="0031096B"/>
    <w:rsid w:val="003112AA"/>
    <w:rsid w:val="00312F33"/>
    <w:rsid w:val="003142AE"/>
    <w:rsid w:val="00314923"/>
    <w:rsid w:val="003155A9"/>
    <w:rsid w:val="00315D29"/>
    <w:rsid w:val="00316E71"/>
    <w:rsid w:val="0031790E"/>
    <w:rsid w:val="00320C67"/>
    <w:rsid w:val="00321525"/>
    <w:rsid w:val="0032391B"/>
    <w:rsid w:val="00324996"/>
    <w:rsid w:val="00324A70"/>
    <w:rsid w:val="00326067"/>
    <w:rsid w:val="00327C9E"/>
    <w:rsid w:val="0033065C"/>
    <w:rsid w:val="00331E1B"/>
    <w:rsid w:val="00332908"/>
    <w:rsid w:val="003335FF"/>
    <w:rsid w:val="003338D2"/>
    <w:rsid w:val="0033462C"/>
    <w:rsid w:val="003361E0"/>
    <w:rsid w:val="00342942"/>
    <w:rsid w:val="003429DD"/>
    <w:rsid w:val="003434E5"/>
    <w:rsid w:val="0034437D"/>
    <w:rsid w:val="00345C94"/>
    <w:rsid w:val="0034654C"/>
    <w:rsid w:val="003468B2"/>
    <w:rsid w:val="00347186"/>
    <w:rsid w:val="003506EE"/>
    <w:rsid w:val="00352395"/>
    <w:rsid w:val="003541F5"/>
    <w:rsid w:val="003543ED"/>
    <w:rsid w:val="00354607"/>
    <w:rsid w:val="00355AB5"/>
    <w:rsid w:val="003565B9"/>
    <w:rsid w:val="0035797F"/>
    <w:rsid w:val="00360DFF"/>
    <w:rsid w:val="003613A4"/>
    <w:rsid w:val="0036376C"/>
    <w:rsid w:val="003651FE"/>
    <w:rsid w:val="003653E8"/>
    <w:rsid w:val="003661BC"/>
    <w:rsid w:val="00366FCA"/>
    <w:rsid w:val="00370451"/>
    <w:rsid w:val="00370FB4"/>
    <w:rsid w:val="00375026"/>
    <w:rsid w:val="0037551A"/>
    <w:rsid w:val="00376C91"/>
    <w:rsid w:val="003826AB"/>
    <w:rsid w:val="0038311B"/>
    <w:rsid w:val="003836ED"/>
    <w:rsid w:val="00384722"/>
    <w:rsid w:val="00384A9D"/>
    <w:rsid w:val="00385069"/>
    <w:rsid w:val="00387534"/>
    <w:rsid w:val="0038772E"/>
    <w:rsid w:val="003909A6"/>
    <w:rsid w:val="00390AA6"/>
    <w:rsid w:val="003927F4"/>
    <w:rsid w:val="003930D5"/>
    <w:rsid w:val="00396B70"/>
    <w:rsid w:val="003970E5"/>
    <w:rsid w:val="003A3EDA"/>
    <w:rsid w:val="003A4AB1"/>
    <w:rsid w:val="003B06F1"/>
    <w:rsid w:val="003B0828"/>
    <w:rsid w:val="003B1B6E"/>
    <w:rsid w:val="003B1DBD"/>
    <w:rsid w:val="003B1EFF"/>
    <w:rsid w:val="003B22C3"/>
    <w:rsid w:val="003B42D1"/>
    <w:rsid w:val="003B5CA4"/>
    <w:rsid w:val="003B5DFD"/>
    <w:rsid w:val="003B78C7"/>
    <w:rsid w:val="003B7A58"/>
    <w:rsid w:val="003B7EA9"/>
    <w:rsid w:val="003C0138"/>
    <w:rsid w:val="003C0D8F"/>
    <w:rsid w:val="003C25F1"/>
    <w:rsid w:val="003C2836"/>
    <w:rsid w:val="003C2D2F"/>
    <w:rsid w:val="003C61E8"/>
    <w:rsid w:val="003C645B"/>
    <w:rsid w:val="003D029A"/>
    <w:rsid w:val="003D0C13"/>
    <w:rsid w:val="003D1C96"/>
    <w:rsid w:val="003D2F78"/>
    <w:rsid w:val="003D5115"/>
    <w:rsid w:val="003D5355"/>
    <w:rsid w:val="003D5647"/>
    <w:rsid w:val="003D6FA6"/>
    <w:rsid w:val="003D797C"/>
    <w:rsid w:val="003E20B0"/>
    <w:rsid w:val="003E2242"/>
    <w:rsid w:val="003E3C23"/>
    <w:rsid w:val="003E4326"/>
    <w:rsid w:val="003E712E"/>
    <w:rsid w:val="003E748C"/>
    <w:rsid w:val="003E7581"/>
    <w:rsid w:val="003F010E"/>
    <w:rsid w:val="003F2C2B"/>
    <w:rsid w:val="003F4545"/>
    <w:rsid w:val="003F501B"/>
    <w:rsid w:val="003F6828"/>
    <w:rsid w:val="00400E05"/>
    <w:rsid w:val="00400F15"/>
    <w:rsid w:val="004011C3"/>
    <w:rsid w:val="00404DD0"/>
    <w:rsid w:val="004052D8"/>
    <w:rsid w:val="004067DC"/>
    <w:rsid w:val="004105B8"/>
    <w:rsid w:val="004122D3"/>
    <w:rsid w:val="00414336"/>
    <w:rsid w:val="0041508D"/>
    <w:rsid w:val="004151B8"/>
    <w:rsid w:val="00415593"/>
    <w:rsid w:val="0041733D"/>
    <w:rsid w:val="00417913"/>
    <w:rsid w:val="004211BD"/>
    <w:rsid w:val="00421DC0"/>
    <w:rsid w:val="00421FF4"/>
    <w:rsid w:val="00424B1D"/>
    <w:rsid w:val="00424C02"/>
    <w:rsid w:val="00425144"/>
    <w:rsid w:val="00426332"/>
    <w:rsid w:val="0042660F"/>
    <w:rsid w:val="00426837"/>
    <w:rsid w:val="00427523"/>
    <w:rsid w:val="00427EA2"/>
    <w:rsid w:val="0043096C"/>
    <w:rsid w:val="0043105D"/>
    <w:rsid w:val="00432AC6"/>
    <w:rsid w:val="00433C38"/>
    <w:rsid w:val="00434336"/>
    <w:rsid w:val="00434EF5"/>
    <w:rsid w:val="00435BA6"/>
    <w:rsid w:val="00437DEA"/>
    <w:rsid w:val="00441DAE"/>
    <w:rsid w:val="00442A8C"/>
    <w:rsid w:val="004433C0"/>
    <w:rsid w:val="00443D5D"/>
    <w:rsid w:val="00444D71"/>
    <w:rsid w:val="004525DC"/>
    <w:rsid w:val="004558A7"/>
    <w:rsid w:val="00455ACF"/>
    <w:rsid w:val="004564A8"/>
    <w:rsid w:val="004564C4"/>
    <w:rsid w:val="00460387"/>
    <w:rsid w:val="00464807"/>
    <w:rsid w:val="004657DF"/>
    <w:rsid w:val="00470CD9"/>
    <w:rsid w:val="00473349"/>
    <w:rsid w:val="00473971"/>
    <w:rsid w:val="004753DA"/>
    <w:rsid w:val="00475CE5"/>
    <w:rsid w:val="00475E92"/>
    <w:rsid w:val="0047620F"/>
    <w:rsid w:val="00476288"/>
    <w:rsid w:val="00476700"/>
    <w:rsid w:val="00476EAE"/>
    <w:rsid w:val="00480F18"/>
    <w:rsid w:val="004814C0"/>
    <w:rsid w:val="00482423"/>
    <w:rsid w:val="004853D3"/>
    <w:rsid w:val="00491724"/>
    <w:rsid w:val="00492141"/>
    <w:rsid w:val="00492457"/>
    <w:rsid w:val="00494872"/>
    <w:rsid w:val="00494918"/>
    <w:rsid w:val="004949D1"/>
    <w:rsid w:val="00496B8A"/>
    <w:rsid w:val="00496F05"/>
    <w:rsid w:val="00497430"/>
    <w:rsid w:val="004A0C55"/>
    <w:rsid w:val="004A1101"/>
    <w:rsid w:val="004A3177"/>
    <w:rsid w:val="004A37BD"/>
    <w:rsid w:val="004A4E80"/>
    <w:rsid w:val="004A4F8F"/>
    <w:rsid w:val="004A555D"/>
    <w:rsid w:val="004A656F"/>
    <w:rsid w:val="004B3389"/>
    <w:rsid w:val="004B3623"/>
    <w:rsid w:val="004B7165"/>
    <w:rsid w:val="004B7E2D"/>
    <w:rsid w:val="004C0450"/>
    <w:rsid w:val="004C13D6"/>
    <w:rsid w:val="004C17BE"/>
    <w:rsid w:val="004C21F5"/>
    <w:rsid w:val="004C5813"/>
    <w:rsid w:val="004C6AE6"/>
    <w:rsid w:val="004C70DA"/>
    <w:rsid w:val="004C77A7"/>
    <w:rsid w:val="004D1CFA"/>
    <w:rsid w:val="004D3FD3"/>
    <w:rsid w:val="004D402E"/>
    <w:rsid w:val="004D5049"/>
    <w:rsid w:val="004D5D6E"/>
    <w:rsid w:val="004D6810"/>
    <w:rsid w:val="004D735F"/>
    <w:rsid w:val="004E1FCF"/>
    <w:rsid w:val="004E26DE"/>
    <w:rsid w:val="004E5A91"/>
    <w:rsid w:val="004E6080"/>
    <w:rsid w:val="004E69A9"/>
    <w:rsid w:val="004F1B4F"/>
    <w:rsid w:val="004F1DDA"/>
    <w:rsid w:val="004F2F55"/>
    <w:rsid w:val="004F41ED"/>
    <w:rsid w:val="004F42A3"/>
    <w:rsid w:val="004F63AF"/>
    <w:rsid w:val="004F70EB"/>
    <w:rsid w:val="004F74BD"/>
    <w:rsid w:val="004F79C1"/>
    <w:rsid w:val="00500094"/>
    <w:rsid w:val="0050033C"/>
    <w:rsid w:val="005007CF"/>
    <w:rsid w:val="0050116D"/>
    <w:rsid w:val="00501465"/>
    <w:rsid w:val="00501AA3"/>
    <w:rsid w:val="00502742"/>
    <w:rsid w:val="00503AF7"/>
    <w:rsid w:val="00503E1C"/>
    <w:rsid w:val="00504475"/>
    <w:rsid w:val="0050575E"/>
    <w:rsid w:val="00506C08"/>
    <w:rsid w:val="00507455"/>
    <w:rsid w:val="005100C0"/>
    <w:rsid w:val="00510D2B"/>
    <w:rsid w:val="00510E9E"/>
    <w:rsid w:val="005130A2"/>
    <w:rsid w:val="00513111"/>
    <w:rsid w:val="00514D2C"/>
    <w:rsid w:val="00516259"/>
    <w:rsid w:val="00520E9F"/>
    <w:rsid w:val="00520F35"/>
    <w:rsid w:val="00522C77"/>
    <w:rsid w:val="005248F4"/>
    <w:rsid w:val="005253B2"/>
    <w:rsid w:val="00526457"/>
    <w:rsid w:val="0053232D"/>
    <w:rsid w:val="005327F3"/>
    <w:rsid w:val="0053475D"/>
    <w:rsid w:val="005358E0"/>
    <w:rsid w:val="00535E3E"/>
    <w:rsid w:val="00536057"/>
    <w:rsid w:val="005369A7"/>
    <w:rsid w:val="0053731F"/>
    <w:rsid w:val="005378CB"/>
    <w:rsid w:val="005400DA"/>
    <w:rsid w:val="00542A3B"/>
    <w:rsid w:val="00543346"/>
    <w:rsid w:val="0054501F"/>
    <w:rsid w:val="00547B0B"/>
    <w:rsid w:val="00552BAD"/>
    <w:rsid w:val="00552E51"/>
    <w:rsid w:val="00553075"/>
    <w:rsid w:val="00554BE1"/>
    <w:rsid w:val="00554C6B"/>
    <w:rsid w:val="005604F8"/>
    <w:rsid w:val="00561303"/>
    <w:rsid w:val="00563712"/>
    <w:rsid w:val="005663E9"/>
    <w:rsid w:val="00566B6F"/>
    <w:rsid w:val="0056757B"/>
    <w:rsid w:val="00574FF9"/>
    <w:rsid w:val="005751EA"/>
    <w:rsid w:val="005753A1"/>
    <w:rsid w:val="00575454"/>
    <w:rsid w:val="005754F1"/>
    <w:rsid w:val="005815BE"/>
    <w:rsid w:val="00581D71"/>
    <w:rsid w:val="005824D9"/>
    <w:rsid w:val="00584A26"/>
    <w:rsid w:val="00584B59"/>
    <w:rsid w:val="0058530E"/>
    <w:rsid w:val="00585ED9"/>
    <w:rsid w:val="0058751D"/>
    <w:rsid w:val="00587BBA"/>
    <w:rsid w:val="00590030"/>
    <w:rsid w:val="00590495"/>
    <w:rsid w:val="00594ABF"/>
    <w:rsid w:val="005952CD"/>
    <w:rsid w:val="00596E7D"/>
    <w:rsid w:val="00596ECB"/>
    <w:rsid w:val="00597B39"/>
    <w:rsid w:val="00597E88"/>
    <w:rsid w:val="005A15E6"/>
    <w:rsid w:val="005A3118"/>
    <w:rsid w:val="005A5536"/>
    <w:rsid w:val="005B0B5F"/>
    <w:rsid w:val="005B22E9"/>
    <w:rsid w:val="005B2ABC"/>
    <w:rsid w:val="005B3386"/>
    <w:rsid w:val="005B3B82"/>
    <w:rsid w:val="005B3C8A"/>
    <w:rsid w:val="005B5CBE"/>
    <w:rsid w:val="005B65E0"/>
    <w:rsid w:val="005B66DA"/>
    <w:rsid w:val="005B77F0"/>
    <w:rsid w:val="005B7F42"/>
    <w:rsid w:val="005C04D4"/>
    <w:rsid w:val="005C0C8E"/>
    <w:rsid w:val="005C1F81"/>
    <w:rsid w:val="005C28ED"/>
    <w:rsid w:val="005C2BEB"/>
    <w:rsid w:val="005C4741"/>
    <w:rsid w:val="005C5094"/>
    <w:rsid w:val="005C58A3"/>
    <w:rsid w:val="005C7363"/>
    <w:rsid w:val="005D0567"/>
    <w:rsid w:val="005D11AA"/>
    <w:rsid w:val="005D2897"/>
    <w:rsid w:val="005D31D3"/>
    <w:rsid w:val="005D5456"/>
    <w:rsid w:val="005E0784"/>
    <w:rsid w:val="005E103E"/>
    <w:rsid w:val="005E1FEF"/>
    <w:rsid w:val="005E4082"/>
    <w:rsid w:val="005E5C76"/>
    <w:rsid w:val="005E6A80"/>
    <w:rsid w:val="005E79A5"/>
    <w:rsid w:val="005E7DCB"/>
    <w:rsid w:val="005F148B"/>
    <w:rsid w:val="005F159B"/>
    <w:rsid w:val="005F1E73"/>
    <w:rsid w:val="005F49C2"/>
    <w:rsid w:val="005F699B"/>
    <w:rsid w:val="00600241"/>
    <w:rsid w:val="006021F8"/>
    <w:rsid w:val="006024E3"/>
    <w:rsid w:val="00604761"/>
    <w:rsid w:val="0060719D"/>
    <w:rsid w:val="006105E4"/>
    <w:rsid w:val="00610A1E"/>
    <w:rsid w:val="0061698B"/>
    <w:rsid w:val="00616F6A"/>
    <w:rsid w:val="006208BC"/>
    <w:rsid w:val="00620A60"/>
    <w:rsid w:val="006232A8"/>
    <w:rsid w:val="006232ED"/>
    <w:rsid w:val="006237F5"/>
    <w:rsid w:val="00625A0A"/>
    <w:rsid w:val="00630131"/>
    <w:rsid w:val="00631647"/>
    <w:rsid w:val="00635D49"/>
    <w:rsid w:val="00635F6C"/>
    <w:rsid w:val="00636BD6"/>
    <w:rsid w:val="00640D14"/>
    <w:rsid w:val="00643399"/>
    <w:rsid w:val="00644A4B"/>
    <w:rsid w:val="00644D0A"/>
    <w:rsid w:val="00644E02"/>
    <w:rsid w:val="00645472"/>
    <w:rsid w:val="00646309"/>
    <w:rsid w:val="006464ED"/>
    <w:rsid w:val="00646589"/>
    <w:rsid w:val="00647AD3"/>
    <w:rsid w:val="00647EFD"/>
    <w:rsid w:val="00650592"/>
    <w:rsid w:val="006529C1"/>
    <w:rsid w:val="00653CD1"/>
    <w:rsid w:val="006550C7"/>
    <w:rsid w:val="006565D4"/>
    <w:rsid w:val="00656E08"/>
    <w:rsid w:val="00657A5A"/>
    <w:rsid w:val="00662206"/>
    <w:rsid w:val="00663A5F"/>
    <w:rsid w:val="00664D0E"/>
    <w:rsid w:val="0066500A"/>
    <w:rsid w:val="006701DF"/>
    <w:rsid w:val="00670605"/>
    <w:rsid w:val="0067236B"/>
    <w:rsid w:val="00672860"/>
    <w:rsid w:val="00672C76"/>
    <w:rsid w:val="00672F5C"/>
    <w:rsid w:val="00674319"/>
    <w:rsid w:val="0067529A"/>
    <w:rsid w:val="006763F2"/>
    <w:rsid w:val="00676D6C"/>
    <w:rsid w:val="00676FC0"/>
    <w:rsid w:val="0067792B"/>
    <w:rsid w:val="006779A5"/>
    <w:rsid w:val="00680B8D"/>
    <w:rsid w:val="00680CC0"/>
    <w:rsid w:val="00681D51"/>
    <w:rsid w:val="00683138"/>
    <w:rsid w:val="00684532"/>
    <w:rsid w:val="00685845"/>
    <w:rsid w:val="00685BE7"/>
    <w:rsid w:val="00685E73"/>
    <w:rsid w:val="0069334A"/>
    <w:rsid w:val="00693668"/>
    <w:rsid w:val="00694C2A"/>
    <w:rsid w:val="006964E7"/>
    <w:rsid w:val="006A30E4"/>
    <w:rsid w:val="006A31A2"/>
    <w:rsid w:val="006A4348"/>
    <w:rsid w:val="006A53A0"/>
    <w:rsid w:val="006A5693"/>
    <w:rsid w:val="006A5778"/>
    <w:rsid w:val="006A676B"/>
    <w:rsid w:val="006A67A8"/>
    <w:rsid w:val="006A736B"/>
    <w:rsid w:val="006A743E"/>
    <w:rsid w:val="006B0541"/>
    <w:rsid w:val="006B2725"/>
    <w:rsid w:val="006B29B5"/>
    <w:rsid w:val="006B38B2"/>
    <w:rsid w:val="006B75E3"/>
    <w:rsid w:val="006B79FF"/>
    <w:rsid w:val="006B7E8D"/>
    <w:rsid w:val="006C14E0"/>
    <w:rsid w:val="006C1D64"/>
    <w:rsid w:val="006C4BC4"/>
    <w:rsid w:val="006C6892"/>
    <w:rsid w:val="006C6A3B"/>
    <w:rsid w:val="006D1A3E"/>
    <w:rsid w:val="006D1A5F"/>
    <w:rsid w:val="006D2617"/>
    <w:rsid w:val="006D277E"/>
    <w:rsid w:val="006D3424"/>
    <w:rsid w:val="006D4A54"/>
    <w:rsid w:val="006D4CF1"/>
    <w:rsid w:val="006D4D36"/>
    <w:rsid w:val="006D545A"/>
    <w:rsid w:val="006D5F73"/>
    <w:rsid w:val="006D6523"/>
    <w:rsid w:val="006E27AD"/>
    <w:rsid w:val="006E3914"/>
    <w:rsid w:val="006E4102"/>
    <w:rsid w:val="006E7555"/>
    <w:rsid w:val="006F07F1"/>
    <w:rsid w:val="006F0DA2"/>
    <w:rsid w:val="006F19BC"/>
    <w:rsid w:val="006F3935"/>
    <w:rsid w:val="006F4A37"/>
    <w:rsid w:val="006F5EB1"/>
    <w:rsid w:val="006F67F0"/>
    <w:rsid w:val="006F6E79"/>
    <w:rsid w:val="00700358"/>
    <w:rsid w:val="0070484C"/>
    <w:rsid w:val="00710F4D"/>
    <w:rsid w:val="0071248E"/>
    <w:rsid w:val="007133F6"/>
    <w:rsid w:val="007136AE"/>
    <w:rsid w:val="00714CD3"/>
    <w:rsid w:val="00720F79"/>
    <w:rsid w:val="0072275C"/>
    <w:rsid w:val="00722BBA"/>
    <w:rsid w:val="00724E01"/>
    <w:rsid w:val="00727356"/>
    <w:rsid w:val="00730168"/>
    <w:rsid w:val="007306C8"/>
    <w:rsid w:val="007312B4"/>
    <w:rsid w:val="00733874"/>
    <w:rsid w:val="00735E21"/>
    <w:rsid w:val="00736255"/>
    <w:rsid w:val="007372ED"/>
    <w:rsid w:val="007378AF"/>
    <w:rsid w:val="00740A8A"/>
    <w:rsid w:val="00740AA6"/>
    <w:rsid w:val="0074136B"/>
    <w:rsid w:val="007421C7"/>
    <w:rsid w:val="007454C6"/>
    <w:rsid w:val="00746322"/>
    <w:rsid w:val="00747C02"/>
    <w:rsid w:val="00750DA5"/>
    <w:rsid w:val="007530F7"/>
    <w:rsid w:val="00755C6C"/>
    <w:rsid w:val="00756A2D"/>
    <w:rsid w:val="00756F39"/>
    <w:rsid w:val="00757B90"/>
    <w:rsid w:val="00763937"/>
    <w:rsid w:val="007647BA"/>
    <w:rsid w:val="00764CD8"/>
    <w:rsid w:val="0076543C"/>
    <w:rsid w:val="007667FD"/>
    <w:rsid w:val="00766D05"/>
    <w:rsid w:val="007715E2"/>
    <w:rsid w:val="00771F46"/>
    <w:rsid w:val="007730FA"/>
    <w:rsid w:val="0077347D"/>
    <w:rsid w:val="007739E2"/>
    <w:rsid w:val="007769E7"/>
    <w:rsid w:val="00777CEB"/>
    <w:rsid w:val="007815FC"/>
    <w:rsid w:val="0078196F"/>
    <w:rsid w:val="0078295A"/>
    <w:rsid w:val="00784C57"/>
    <w:rsid w:val="007855C0"/>
    <w:rsid w:val="00785DAB"/>
    <w:rsid w:val="00786A81"/>
    <w:rsid w:val="00787950"/>
    <w:rsid w:val="007904D0"/>
    <w:rsid w:val="00793EA6"/>
    <w:rsid w:val="0079494E"/>
    <w:rsid w:val="00794FB5"/>
    <w:rsid w:val="00795F7E"/>
    <w:rsid w:val="007970F2"/>
    <w:rsid w:val="007A163F"/>
    <w:rsid w:val="007A18BF"/>
    <w:rsid w:val="007A2777"/>
    <w:rsid w:val="007A3726"/>
    <w:rsid w:val="007A419F"/>
    <w:rsid w:val="007A44B0"/>
    <w:rsid w:val="007A5D11"/>
    <w:rsid w:val="007A6611"/>
    <w:rsid w:val="007B0990"/>
    <w:rsid w:val="007B3678"/>
    <w:rsid w:val="007B3833"/>
    <w:rsid w:val="007B3DC3"/>
    <w:rsid w:val="007B50D8"/>
    <w:rsid w:val="007B5541"/>
    <w:rsid w:val="007B6C8A"/>
    <w:rsid w:val="007B7E71"/>
    <w:rsid w:val="007C0806"/>
    <w:rsid w:val="007C095B"/>
    <w:rsid w:val="007C0CF4"/>
    <w:rsid w:val="007C2CA5"/>
    <w:rsid w:val="007C48B7"/>
    <w:rsid w:val="007C4BAE"/>
    <w:rsid w:val="007C4DDB"/>
    <w:rsid w:val="007D06E6"/>
    <w:rsid w:val="007D0BBA"/>
    <w:rsid w:val="007D18CE"/>
    <w:rsid w:val="007D1A10"/>
    <w:rsid w:val="007D2730"/>
    <w:rsid w:val="007D2B9A"/>
    <w:rsid w:val="007D2BF7"/>
    <w:rsid w:val="007D4078"/>
    <w:rsid w:val="007D5221"/>
    <w:rsid w:val="007D64AB"/>
    <w:rsid w:val="007E106C"/>
    <w:rsid w:val="007E324D"/>
    <w:rsid w:val="007E3441"/>
    <w:rsid w:val="007E4EFB"/>
    <w:rsid w:val="007E5376"/>
    <w:rsid w:val="007F2543"/>
    <w:rsid w:val="007F2925"/>
    <w:rsid w:val="007F2931"/>
    <w:rsid w:val="007F51F4"/>
    <w:rsid w:val="007F5F80"/>
    <w:rsid w:val="007F6A03"/>
    <w:rsid w:val="007F76D9"/>
    <w:rsid w:val="007F7D3A"/>
    <w:rsid w:val="00802823"/>
    <w:rsid w:val="008057EA"/>
    <w:rsid w:val="008060F6"/>
    <w:rsid w:val="00806823"/>
    <w:rsid w:val="00806E14"/>
    <w:rsid w:val="00812FD2"/>
    <w:rsid w:val="0081746F"/>
    <w:rsid w:val="00817B16"/>
    <w:rsid w:val="00817E33"/>
    <w:rsid w:val="008216BA"/>
    <w:rsid w:val="008224A5"/>
    <w:rsid w:val="00823169"/>
    <w:rsid w:val="00824A9E"/>
    <w:rsid w:val="00825F67"/>
    <w:rsid w:val="0082733E"/>
    <w:rsid w:val="00827EE6"/>
    <w:rsid w:val="00834CD1"/>
    <w:rsid w:val="00835161"/>
    <w:rsid w:val="008365B1"/>
    <w:rsid w:val="008421AB"/>
    <w:rsid w:val="008425BA"/>
    <w:rsid w:val="00842A1C"/>
    <w:rsid w:val="008433C0"/>
    <w:rsid w:val="00843B9C"/>
    <w:rsid w:val="00846E36"/>
    <w:rsid w:val="00847F35"/>
    <w:rsid w:val="00850A8A"/>
    <w:rsid w:val="00850BAC"/>
    <w:rsid w:val="0085206A"/>
    <w:rsid w:val="008525F3"/>
    <w:rsid w:val="0085271A"/>
    <w:rsid w:val="00852FDD"/>
    <w:rsid w:val="008553E8"/>
    <w:rsid w:val="0085594E"/>
    <w:rsid w:val="00855C64"/>
    <w:rsid w:val="00856DB2"/>
    <w:rsid w:val="00860443"/>
    <w:rsid w:val="0086075E"/>
    <w:rsid w:val="00860B5E"/>
    <w:rsid w:val="00862E5C"/>
    <w:rsid w:val="0086539B"/>
    <w:rsid w:val="0086611D"/>
    <w:rsid w:val="008671C5"/>
    <w:rsid w:val="00867206"/>
    <w:rsid w:val="008672C1"/>
    <w:rsid w:val="00867482"/>
    <w:rsid w:val="00870789"/>
    <w:rsid w:val="008714C1"/>
    <w:rsid w:val="00872BD0"/>
    <w:rsid w:val="00873F14"/>
    <w:rsid w:val="00874B30"/>
    <w:rsid w:val="0087519D"/>
    <w:rsid w:val="0087700D"/>
    <w:rsid w:val="00877378"/>
    <w:rsid w:val="00877785"/>
    <w:rsid w:val="0088043F"/>
    <w:rsid w:val="00880706"/>
    <w:rsid w:val="00883B7A"/>
    <w:rsid w:val="00883D08"/>
    <w:rsid w:val="008854EB"/>
    <w:rsid w:val="0088550C"/>
    <w:rsid w:val="00886421"/>
    <w:rsid w:val="00886668"/>
    <w:rsid w:val="00890B62"/>
    <w:rsid w:val="008910D6"/>
    <w:rsid w:val="00891457"/>
    <w:rsid w:val="008915B2"/>
    <w:rsid w:val="00892496"/>
    <w:rsid w:val="00892AC3"/>
    <w:rsid w:val="00895EB5"/>
    <w:rsid w:val="008972E1"/>
    <w:rsid w:val="00897CDA"/>
    <w:rsid w:val="008A0D75"/>
    <w:rsid w:val="008A1C84"/>
    <w:rsid w:val="008A2A54"/>
    <w:rsid w:val="008A44F3"/>
    <w:rsid w:val="008A6D4C"/>
    <w:rsid w:val="008A7626"/>
    <w:rsid w:val="008A7912"/>
    <w:rsid w:val="008B4687"/>
    <w:rsid w:val="008B49F0"/>
    <w:rsid w:val="008B63A0"/>
    <w:rsid w:val="008C2AC5"/>
    <w:rsid w:val="008C3264"/>
    <w:rsid w:val="008C4E3B"/>
    <w:rsid w:val="008C58F2"/>
    <w:rsid w:val="008D1F79"/>
    <w:rsid w:val="008D329D"/>
    <w:rsid w:val="008D39B2"/>
    <w:rsid w:val="008D4343"/>
    <w:rsid w:val="008D56E2"/>
    <w:rsid w:val="008D58FC"/>
    <w:rsid w:val="008D5BF7"/>
    <w:rsid w:val="008D60D2"/>
    <w:rsid w:val="008D74C4"/>
    <w:rsid w:val="008E0852"/>
    <w:rsid w:val="008E2DB8"/>
    <w:rsid w:val="008E43C4"/>
    <w:rsid w:val="008E4753"/>
    <w:rsid w:val="008E4830"/>
    <w:rsid w:val="008E4B34"/>
    <w:rsid w:val="008E4BD9"/>
    <w:rsid w:val="008F0747"/>
    <w:rsid w:val="008F15C6"/>
    <w:rsid w:val="008F1723"/>
    <w:rsid w:val="008F2275"/>
    <w:rsid w:val="008F2FAF"/>
    <w:rsid w:val="008F32A2"/>
    <w:rsid w:val="008F3A0F"/>
    <w:rsid w:val="008F4515"/>
    <w:rsid w:val="008F4FC9"/>
    <w:rsid w:val="008F511E"/>
    <w:rsid w:val="008F583F"/>
    <w:rsid w:val="008F620A"/>
    <w:rsid w:val="008F6513"/>
    <w:rsid w:val="008F732D"/>
    <w:rsid w:val="00902A07"/>
    <w:rsid w:val="00904307"/>
    <w:rsid w:val="00906DDD"/>
    <w:rsid w:val="00906ECB"/>
    <w:rsid w:val="00906FA1"/>
    <w:rsid w:val="0091001C"/>
    <w:rsid w:val="0091071D"/>
    <w:rsid w:val="00910E11"/>
    <w:rsid w:val="00911733"/>
    <w:rsid w:val="009131C5"/>
    <w:rsid w:val="00914579"/>
    <w:rsid w:val="0091484F"/>
    <w:rsid w:val="009152A2"/>
    <w:rsid w:val="00915B2F"/>
    <w:rsid w:val="0091658C"/>
    <w:rsid w:val="00916B70"/>
    <w:rsid w:val="009173A8"/>
    <w:rsid w:val="009211AD"/>
    <w:rsid w:val="00921682"/>
    <w:rsid w:val="00923328"/>
    <w:rsid w:val="00924B22"/>
    <w:rsid w:val="00925A07"/>
    <w:rsid w:val="0092665A"/>
    <w:rsid w:val="00926B45"/>
    <w:rsid w:val="00932102"/>
    <w:rsid w:val="00933827"/>
    <w:rsid w:val="00934510"/>
    <w:rsid w:val="0093578E"/>
    <w:rsid w:val="009372A2"/>
    <w:rsid w:val="009406CE"/>
    <w:rsid w:val="00941081"/>
    <w:rsid w:val="00941401"/>
    <w:rsid w:val="0094186A"/>
    <w:rsid w:val="00941FB3"/>
    <w:rsid w:val="0094201A"/>
    <w:rsid w:val="00943980"/>
    <w:rsid w:val="00943D88"/>
    <w:rsid w:val="009448C0"/>
    <w:rsid w:val="00944C7C"/>
    <w:rsid w:val="009458CC"/>
    <w:rsid w:val="00946C81"/>
    <w:rsid w:val="00952AC6"/>
    <w:rsid w:val="00954FF8"/>
    <w:rsid w:val="0095731C"/>
    <w:rsid w:val="00960996"/>
    <w:rsid w:val="00965A54"/>
    <w:rsid w:val="00973997"/>
    <w:rsid w:val="009742BF"/>
    <w:rsid w:val="00975CE4"/>
    <w:rsid w:val="0097657D"/>
    <w:rsid w:val="009807E6"/>
    <w:rsid w:val="00982C9D"/>
    <w:rsid w:val="00983293"/>
    <w:rsid w:val="009857A2"/>
    <w:rsid w:val="0098624B"/>
    <w:rsid w:val="00992359"/>
    <w:rsid w:val="009923AA"/>
    <w:rsid w:val="00994524"/>
    <w:rsid w:val="009962EA"/>
    <w:rsid w:val="00996B5D"/>
    <w:rsid w:val="00997029"/>
    <w:rsid w:val="009A08AE"/>
    <w:rsid w:val="009A0BB9"/>
    <w:rsid w:val="009A1092"/>
    <w:rsid w:val="009A1F87"/>
    <w:rsid w:val="009A34B4"/>
    <w:rsid w:val="009A3B41"/>
    <w:rsid w:val="009A40FD"/>
    <w:rsid w:val="009A4C8C"/>
    <w:rsid w:val="009A6F52"/>
    <w:rsid w:val="009B0073"/>
    <w:rsid w:val="009B0A3F"/>
    <w:rsid w:val="009B1C61"/>
    <w:rsid w:val="009B1EB3"/>
    <w:rsid w:val="009B223E"/>
    <w:rsid w:val="009B2383"/>
    <w:rsid w:val="009B5D9C"/>
    <w:rsid w:val="009B66A1"/>
    <w:rsid w:val="009B6749"/>
    <w:rsid w:val="009B6EB1"/>
    <w:rsid w:val="009B6EE7"/>
    <w:rsid w:val="009C1975"/>
    <w:rsid w:val="009C1E26"/>
    <w:rsid w:val="009C2F21"/>
    <w:rsid w:val="009C38E0"/>
    <w:rsid w:val="009C6CA9"/>
    <w:rsid w:val="009D05DA"/>
    <w:rsid w:val="009D0CDB"/>
    <w:rsid w:val="009D116D"/>
    <w:rsid w:val="009D1A41"/>
    <w:rsid w:val="009D2E59"/>
    <w:rsid w:val="009D5071"/>
    <w:rsid w:val="009D6B7B"/>
    <w:rsid w:val="009E0885"/>
    <w:rsid w:val="009E24A3"/>
    <w:rsid w:val="009E2CF8"/>
    <w:rsid w:val="009E3440"/>
    <w:rsid w:val="009F0162"/>
    <w:rsid w:val="009F0888"/>
    <w:rsid w:val="009F0EC8"/>
    <w:rsid w:val="009F1CDE"/>
    <w:rsid w:val="009F21FB"/>
    <w:rsid w:val="009F66E0"/>
    <w:rsid w:val="009F7C27"/>
    <w:rsid w:val="00A00806"/>
    <w:rsid w:val="00A03F6C"/>
    <w:rsid w:val="00A04070"/>
    <w:rsid w:val="00A04205"/>
    <w:rsid w:val="00A042A7"/>
    <w:rsid w:val="00A04BCC"/>
    <w:rsid w:val="00A04D9F"/>
    <w:rsid w:val="00A053CF"/>
    <w:rsid w:val="00A06492"/>
    <w:rsid w:val="00A07907"/>
    <w:rsid w:val="00A07F4B"/>
    <w:rsid w:val="00A1084A"/>
    <w:rsid w:val="00A1120A"/>
    <w:rsid w:val="00A121A2"/>
    <w:rsid w:val="00A12427"/>
    <w:rsid w:val="00A1291F"/>
    <w:rsid w:val="00A14516"/>
    <w:rsid w:val="00A16373"/>
    <w:rsid w:val="00A16D45"/>
    <w:rsid w:val="00A17FFE"/>
    <w:rsid w:val="00A20DFC"/>
    <w:rsid w:val="00A21249"/>
    <w:rsid w:val="00A214EF"/>
    <w:rsid w:val="00A218C4"/>
    <w:rsid w:val="00A24DC9"/>
    <w:rsid w:val="00A25A3F"/>
    <w:rsid w:val="00A31985"/>
    <w:rsid w:val="00A31ACC"/>
    <w:rsid w:val="00A31BE5"/>
    <w:rsid w:val="00A3295E"/>
    <w:rsid w:val="00A331B7"/>
    <w:rsid w:val="00A3723A"/>
    <w:rsid w:val="00A377F6"/>
    <w:rsid w:val="00A4214F"/>
    <w:rsid w:val="00A43A1B"/>
    <w:rsid w:val="00A503A1"/>
    <w:rsid w:val="00A51E7D"/>
    <w:rsid w:val="00A53008"/>
    <w:rsid w:val="00A5426E"/>
    <w:rsid w:val="00A54590"/>
    <w:rsid w:val="00A5499E"/>
    <w:rsid w:val="00A56D13"/>
    <w:rsid w:val="00A56FE8"/>
    <w:rsid w:val="00A63A2E"/>
    <w:rsid w:val="00A642BA"/>
    <w:rsid w:val="00A64EFB"/>
    <w:rsid w:val="00A65FE2"/>
    <w:rsid w:val="00A67EB9"/>
    <w:rsid w:val="00A70301"/>
    <w:rsid w:val="00A7227D"/>
    <w:rsid w:val="00A72341"/>
    <w:rsid w:val="00A72BEA"/>
    <w:rsid w:val="00A73005"/>
    <w:rsid w:val="00A75729"/>
    <w:rsid w:val="00A758A4"/>
    <w:rsid w:val="00A75EC8"/>
    <w:rsid w:val="00A761A0"/>
    <w:rsid w:val="00A762C2"/>
    <w:rsid w:val="00A76426"/>
    <w:rsid w:val="00A7756C"/>
    <w:rsid w:val="00A8115B"/>
    <w:rsid w:val="00A842EE"/>
    <w:rsid w:val="00A8534B"/>
    <w:rsid w:val="00A85B37"/>
    <w:rsid w:val="00A86984"/>
    <w:rsid w:val="00A87FCD"/>
    <w:rsid w:val="00A9006A"/>
    <w:rsid w:val="00A9085E"/>
    <w:rsid w:val="00A92977"/>
    <w:rsid w:val="00A9298A"/>
    <w:rsid w:val="00A92B17"/>
    <w:rsid w:val="00A92E60"/>
    <w:rsid w:val="00A93E78"/>
    <w:rsid w:val="00A959E5"/>
    <w:rsid w:val="00A95CB7"/>
    <w:rsid w:val="00A96567"/>
    <w:rsid w:val="00A965B0"/>
    <w:rsid w:val="00A973F7"/>
    <w:rsid w:val="00AA0B95"/>
    <w:rsid w:val="00AA177C"/>
    <w:rsid w:val="00AA3A88"/>
    <w:rsid w:val="00AA3A9E"/>
    <w:rsid w:val="00AA42E0"/>
    <w:rsid w:val="00AA5D6B"/>
    <w:rsid w:val="00AA65CB"/>
    <w:rsid w:val="00AA7269"/>
    <w:rsid w:val="00AA76D4"/>
    <w:rsid w:val="00AB0024"/>
    <w:rsid w:val="00AB219D"/>
    <w:rsid w:val="00AB22EB"/>
    <w:rsid w:val="00AB27F9"/>
    <w:rsid w:val="00AB2CFE"/>
    <w:rsid w:val="00AB3104"/>
    <w:rsid w:val="00AB314C"/>
    <w:rsid w:val="00AB3441"/>
    <w:rsid w:val="00AB390A"/>
    <w:rsid w:val="00AB6710"/>
    <w:rsid w:val="00AC0EF4"/>
    <w:rsid w:val="00AC18FA"/>
    <w:rsid w:val="00AC390F"/>
    <w:rsid w:val="00AC4522"/>
    <w:rsid w:val="00AC6278"/>
    <w:rsid w:val="00AD00C5"/>
    <w:rsid w:val="00AD081C"/>
    <w:rsid w:val="00AD1706"/>
    <w:rsid w:val="00AD2B1A"/>
    <w:rsid w:val="00AD2FE6"/>
    <w:rsid w:val="00AD4EBA"/>
    <w:rsid w:val="00AD5397"/>
    <w:rsid w:val="00AD5C13"/>
    <w:rsid w:val="00AD6721"/>
    <w:rsid w:val="00AE28A8"/>
    <w:rsid w:val="00AE5333"/>
    <w:rsid w:val="00AE5CAC"/>
    <w:rsid w:val="00AE7BAF"/>
    <w:rsid w:val="00AF18D7"/>
    <w:rsid w:val="00AF3BFB"/>
    <w:rsid w:val="00AF4BDB"/>
    <w:rsid w:val="00AF5481"/>
    <w:rsid w:val="00AF5A4B"/>
    <w:rsid w:val="00AF6740"/>
    <w:rsid w:val="00B0069D"/>
    <w:rsid w:val="00B02620"/>
    <w:rsid w:val="00B04F63"/>
    <w:rsid w:val="00B05B2E"/>
    <w:rsid w:val="00B06C19"/>
    <w:rsid w:val="00B06D72"/>
    <w:rsid w:val="00B132B6"/>
    <w:rsid w:val="00B13DFF"/>
    <w:rsid w:val="00B14F1A"/>
    <w:rsid w:val="00B154C9"/>
    <w:rsid w:val="00B161A6"/>
    <w:rsid w:val="00B16C24"/>
    <w:rsid w:val="00B16F78"/>
    <w:rsid w:val="00B21A5A"/>
    <w:rsid w:val="00B2366C"/>
    <w:rsid w:val="00B241CB"/>
    <w:rsid w:val="00B25855"/>
    <w:rsid w:val="00B26A7B"/>
    <w:rsid w:val="00B27FCC"/>
    <w:rsid w:val="00B3325B"/>
    <w:rsid w:val="00B33AF2"/>
    <w:rsid w:val="00B34E54"/>
    <w:rsid w:val="00B35248"/>
    <w:rsid w:val="00B36542"/>
    <w:rsid w:val="00B40B07"/>
    <w:rsid w:val="00B40D2F"/>
    <w:rsid w:val="00B4108A"/>
    <w:rsid w:val="00B42BF5"/>
    <w:rsid w:val="00B43776"/>
    <w:rsid w:val="00B43A27"/>
    <w:rsid w:val="00B44ADF"/>
    <w:rsid w:val="00B512EB"/>
    <w:rsid w:val="00B5152D"/>
    <w:rsid w:val="00B51784"/>
    <w:rsid w:val="00B52855"/>
    <w:rsid w:val="00B53023"/>
    <w:rsid w:val="00B552C6"/>
    <w:rsid w:val="00B55819"/>
    <w:rsid w:val="00B561A7"/>
    <w:rsid w:val="00B5739C"/>
    <w:rsid w:val="00B60177"/>
    <w:rsid w:val="00B60203"/>
    <w:rsid w:val="00B618CD"/>
    <w:rsid w:val="00B61F94"/>
    <w:rsid w:val="00B65F6D"/>
    <w:rsid w:val="00B66B75"/>
    <w:rsid w:val="00B66D8D"/>
    <w:rsid w:val="00B66E64"/>
    <w:rsid w:val="00B66E9C"/>
    <w:rsid w:val="00B72552"/>
    <w:rsid w:val="00B72EDD"/>
    <w:rsid w:val="00B7450F"/>
    <w:rsid w:val="00B74D84"/>
    <w:rsid w:val="00B80C27"/>
    <w:rsid w:val="00B80DD0"/>
    <w:rsid w:val="00B81578"/>
    <w:rsid w:val="00B816E7"/>
    <w:rsid w:val="00B82DAB"/>
    <w:rsid w:val="00B8372D"/>
    <w:rsid w:val="00B84A68"/>
    <w:rsid w:val="00B85EB7"/>
    <w:rsid w:val="00B865E5"/>
    <w:rsid w:val="00B90D73"/>
    <w:rsid w:val="00B92459"/>
    <w:rsid w:val="00B925A2"/>
    <w:rsid w:val="00B92B07"/>
    <w:rsid w:val="00BA072B"/>
    <w:rsid w:val="00BA109D"/>
    <w:rsid w:val="00BA1B08"/>
    <w:rsid w:val="00BA1CFB"/>
    <w:rsid w:val="00BA44C1"/>
    <w:rsid w:val="00BA7196"/>
    <w:rsid w:val="00BB0384"/>
    <w:rsid w:val="00BB0AFA"/>
    <w:rsid w:val="00BB2959"/>
    <w:rsid w:val="00BB2F04"/>
    <w:rsid w:val="00BB3006"/>
    <w:rsid w:val="00BB5C51"/>
    <w:rsid w:val="00BB6C3C"/>
    <w:rsid w:val="00BB728B"/>
    <w:rsid w:val="00BB7E47"/>
    <w:rsid w:val="00BB7FEB"/>
    <w:rsid w:val="00BC0F2B"/>
    <w:rsid w:val="00BC11D9"/>
    <w:rsid w:val="00BC134F"/>
    <w:rsid w:val="00BC2F10"/>
    <w:rsid w:val="00BC5CD1"/>
    <w:rsid w:val="00BC7947"/>
    <w:rsid w:val="00BC7B8A"/>
    <w:rsid w:val="00BD19AE"/>
    <w:rsid w:val="00BD23FE"/>
    <w:rsid w:val="00BD2B63"/>
    <w:rsid w:val="00BD30FE"/>
    <w:rsid w:val="00BD5BF7"/>
    <w:rsid w:val="00BD776D"/>
    <w:rsid w:val="00BE029F"/>
    <w:rsid w:val="00BE07E9"/>
    <w:rsid w:val="00BE1D3B"/>
    <w:rsid w:val="00BE5C9D"/>
    <w:rsid w:val="00BE65C4"/>
    <w:rsid w:val="00BF3120"/>
    <w:rsid w:val="00BF532D"/>
    <w:rsid w:val="00BF5437"/>
    <w:rsid w:val="00BF6751"/>
    <w:rsid w:val="00BF7249"/>
    <w:rsid w:val="00BF7FBB"/>
    <w:rsid w:val="00C01B79"/>
    <w:rsid w:val="00C027FF"/>
    <w:rsid w:val="00C067E0"/>
    <w:rsid w:val="00C07F6E"/>
    <w:rsid w:val="00C07FF4"/>
    <w:rsid w:val="00C101CB"/>
    <w:rsid w:val="00C1078C"/>
    <w:rsid w:val="00C11CFB"/>
    <w:rsid w:val="00C12DDC"/>
    <w:rsid w:val="00C13B3D"/>
    <w:rsid w:val="00C1476D"/>
    <w:rsid w:val="00C147D7"/>
    <w:rsid w:val="00C14DBE"/>
    <w:rsid w:val="00C16693"/>
    <w:rsid w:val="00C17E79"/>
    <w:rsid w:val="00C27AFE"/>
    <w:rsid w:val="00C31073"/>
    <w:rsid w:val="00C32E4F"/>
    <w:rsid w:val="00C33CD4"/>
    <w:rsid w:val="00C3471E"/>
    <w:rsid w:val="00C36690"/>
    <w:rsid w:val="00C40E53"/>
    <w:rsid w:val="00C42D30"/>
    <w:rsid w:val="00C42DE5"/>
    <w:rsid w:val="00C43B17"/>
    <w:rsid w:val="00C43D2A"/>
    <w:rsid w:val="00C441E9"/>
    <w:rsid w:val="00C45892"/>
    <w:rsid w:val="00C45E58"/>
    <w:rsid w:val="00C469BA"/>
    <w:rsid w:val="00C47BAF"/>
    <w:rsid w:val="00C5021A"/>
    <w:rsid w:val="00C50A06"/>
    <w:rsid w:val="00C52193"/>
    <w:rsid w:val="00C53889"/>
    <w:rsid w:val="00C5665F"/>
    <w:rsid w:val="00C57511"/>
    <w:rsid w:val="00C64250"/>
    <w:rsid w:val="00C65468"/>
    <w:rsid w:val="00C66810"/>
    <w:rsid w:val="00C672CE"/>
    <w:rsid w:val="00C67D51"/>
    <w:rsid w:val="00C7261D"/>
    <w:rsid w:val="00C731EE"/>
    <w:rsid w:val="00C7335E"/>
    <w:rsid w:val="00C7375F"/>
    <w:rsid w:val="00C7379C"/>
    <w:rsid w:val="00C74D2E"/>
    <w:rsid w:val="00C770DD"/>
    <w:rsid w:val="00C806E7"/>
    <w:rsid w:val="00C80E51"/>
    <w:rsid w:val="00C82FE2"/>
    <w:rsid w:val="00C83857"/>
    <w:rsid w:val="00C838E1"/>
    <w:rsid w:val="00C83A71"/>
    <w:rsid w:val="00C84FBD"/>
    <w:rsid w:val="00C86011"/>
    <w:rsid w:val="00C863A1"/>
    <w:rsid w:val="00C87E6F"/>
    <w:rsid w:val="00C90887"/>
    <w:rsid w:val="00C92624"/>
    <w:rsid w:val="00C92E71"/>
    <w:rsid w:val="00C93A35"/>
    <w:rsid w:val="00CA2F45"/>
    <w:rsid w:val="00CA3F17"/>
    <w:rsid w:val="00CA4C26"/>
    <w:rsid w:val="00CA7951"/>
    <w:rsid w:val="00CA7A7A"/>
    <w:rsid w:val="00CB3613"/>
    <w:rsid w:val="00CB430A"/>
    <w:rsid w:val="00CB6B37"/>
    <w:rsid w:val="00CB7814"/>
    <w:rsid w:val="00CC10CD"/>
    <w:rsid w:val="00CC2697"/>
    <w:rsid w:val="00CC31EE"/>
    <w:rsid w:val="00CC43AF"/>
    <w:rsid w:val="00CC4AB0"/>
    <w:rsid w:val="00CD18AA"/>
    <w:rsid w:val="00CD18B3"/>
    <w:rsid w:val="00CD2409"/>
    <w:rsid w:val="00CD4AC0"/>
    <w:rsid w:val="00CD5644"/>
    <w:rsid w:val="00CD63C6"/>
    <w:rsid w:val="00CD7136"/>
    <w:rsid w:val="00CE1536"/>
    <w:rsid w:val="00CE1A52"/>
    <w:rsid w:val="00CE1DD2"/>
    <w:rsid w:val="00CE1DE1"/>
    <w:rsid w:val="00CE46D5"/>
    <w:rsid w:val="00CE5104"/>
    <w:rsid w:val="00CE51B2"/>
    <w:rsid w:val="00CF194E"/>
    <w:rsid w:val="00CF3548"/>
    <w:rsid w:val="00CF7B2B"/>
    <w:rsid w:val="00D00130"/>
    <w:rsid w:val="00D0114C"/>
    <w:rsid w:val="00D031DA"/>
    <w:rsid w:val="00D03775"/>
    <w:rsid w:val="00D0436E"/>
    <w:rsid w:val="00D04399"/>
    <w:rsid w:val="00D04413"/>
    <w:rsid w:val="00D049D5"/>
    <w:rsid w:val="00D05580"/>
    <w:rsid w:val="00D114B5"/>
    <w:rsid w:val="00D119EB"/>
    <w:rsid w:val="00D12DF1"/>
    <w:rsid w:val="00D13178"/>
    <w:rsid w:val="00D13B4B"/>
    <w:rsid w:val="00D13D3D"/>
    <w:rsid w:val="00D172A4"/>
    <w:rsid w:val="00D17F4B"/>
    <w:rsid w:val="00D20BCD"/>
    <w:rsid w:val="00D21098"/>
    <w:rsid w:val="00D2320F"/>
    <w:rsid w:val="00D238C6"/>
    <w:rsid w:val="00D24844"/>
    <w:rsid w:val="00D25615"/>
    <w:rsid w:val="00D27EF2"/>
    <w:rsid w:val="00D307CB"/>
    <w:rsid w:val="00D30A5D"/>
    <w:rsid w:val="00D3106B"/>
    <w:rsid w:val="00D32459"/>
    <w:rsid w:val="00D33BE1"/>
    <w:rsid w:val="00D35700"/>
    <w:rsid w:val="00D3577F"/>
    <w:rsid w:val="00D35C3A"/>
    <w:rsid w:val="00D361D0"/>
    <w:rsid w:val="00D3725C"/>
    <w:rsid w:val="00D40399"/>
    <w:rsid w:val="00D40C4F"/>
    <w:rsid w:val="00D43812"/>
    <w:rsid w:val="00D44AAD"/>
    <w:rsid w:val="00D44FBB"/>
    <w:rsid w:val="00D45262"/>
    <w:rsid w:val="00D45323"/>
    <w:rsid w:val="00D50065"/>
    <w:rsid w:val="00D51B42"/>
    <w:rsid w:val="00D51D5A"/>
    <w:rsid w:val="00D527E9"/>
    <w:rsid w:val="00D52807"/>
    <w:rsid w:val="00D528CC"/>
    <w:rsid w:val="00D53355"/>
    <w:rsid w:val="00D5611C"/>
    <w:rsid w:val="00D56472"/>
    <w:rsid w:val="00D5680E"/>
    <w:rsid w:val="00D56E71"/>
    <w:rsid w:val="00D56ED1"/>
    <w:rsid w:val="00D57377"/>
    <w:rsid w:val="00D60D9C"/>
    <w:rsid w:val="00D63467"/>
    <w:rsid w:val="00D63A40"/>
    <w:rsid w:val="00D66B26"/>
    <w:rsid w:val="00D709B9"/>
    <w:rsid w:val="00D71E05"/>
    <w:rsid w:val="00D72294"/>
    <w:rsid w:val="00D72338"/>
    <w:rsid w:val="00D727DD"/>
    <w:rsid w:val="00D743F4"/>
    <w:rsid w:val="00D74CDF"/>
    <w:rsid w:val="00D752C0"/>
    <w:rsid w:val="00D75608"/>
    <w:rsid w:val="00D75941"/>
    <w:rsid w:val="00D77B0A"/>
    <w:rsid w:val="00D801B0"/>
    <w:rsid w:val="00D819E6"/>
    <w:rsid w:val="00D82D3C"/>
    <w:rsid w:val="00D83DDC"/>
    <w:rsid w:val="00D842A4"/>
    <w:rsid w:val="00D85489"/>
    <w:rsid w:val="00D85E4A"/>
    <w:rsid w:val="00D87D33"/>
    <w:rsid w:val="00D90215"/>
    <w:rsid w:val="00D906E1"/>
    <w:rsid w:val="00D90C95"/>
    <w:rsid w:val="00D91E66"/>
    <w:rsid w:val="00D92D98"/>
    <w:rsid w:val="00D9621B"/>
    <w:rsid w:val="00DA04FD"/>
    <w:rsid w:val="00DA0C83"/>
    <w:rsid w:val="00DA1E74"/>
    <w:rsid w:val="00DA249E"/>
    <w:rsid w:val="00DA2F03"/>
    <w:rsid w:val="00DA2F85"/>
    <w:rsid w:val="00DA3090"/>
    <w:rsid w:val="00DA40B3"/>
    <w:rsid w:val="00DA42A7"/>
    <w:rsid w:val="00DA50AD"/>
    <w:rsid w:val="00DA758D"/>
    <w:rsid w:val="00DB14B6"/>
    <w:rsid w:val="00DB1F2F"/>
    <w:rsid w:val="00DB308B"/>
    <w:rsid w:val="00DB3BE8"/>
    <w:rsid w:val="00DB3F5A"/>
    <w:rsid w:val="00DB6323"/>
    <w:rsid w:val="00DB7745"/>
    <w:rsid w:val="00DC33E2"/>
    <w:rsid w:val="00DC4EDA"/>
    <w:rsid w:val="00DC5A2B"/>
    <w:rsid w:val="00DC5E4A"/>
    <w:rsid w:val="00DD0A30"/>
    <w:rsid w:val="00DD0B30"/>
    <w:rsid w:val="00DD2057"/>
    <w:rsid w:val="00DD3EF6"/>
    <w:rsid w:val="00DD46E1"/>
    <w:rsid w:val="00DD477C"/>
    <w:rsid w:val="00DD4D4B"/>
    <w:rsid w:val="00DD56C0"/>
    <w:rsid w:val="00DD73D7"/>
    <w:rsid w:val="00DE1E52"/>
    <w:rsid w:val="00DE33FB"/>
    <w:rsid w:val="00DE776F"/>
    <w:rsid w:val="00DE7D99"/>
    <w:rsid w:val="00DF0EF9"/>
    <w:rsid w:val="00DF21D4"/>
    <w:rsid w:val="00DF468C"/>
    <w:rsid w:val="00DF5121"/>
    <w:rsid w:val="00DF5FB4"/>
    <w:rsid w:val="00DF6FAD"/>
    <w:rsid w:val="00DF71DE"/>
    <w:rsid w:val="00DF7B9C"/>
    <w:rsid w:val="00E00A09"/>
    <w:rsid w:val="00E00E83"/>
    <w:rsid w:val="00E02AEC"/>
    <w:rsid w:val="00E05B57"/>
    <w:rsid w:val="00E0620A"/>
    <w:rsid w:val="00E07DF0"/>
    <w:rsid w:val="00E1019B"/>
    <w:rsid w:val="00E12BB2"/>
    <w:rsid w:val="00E144FF"/>
    <w:rsid w:val="00E14C58"/>
    <w:rsid w:val="00E16AC6"/>
    <w:rsid w:val="00E225B5"/>
    <w:rsid w:val="00E23F37"/>
    <w:rsid w:val="00E2501C"/>
    <w:rsid w:val="00E2570C"/>
    <w:rsid w:val="00E26325"/>
    <w:rsid w:val="00E26AD4"/>
    <w:rsid w:val="00E30A58"/>
    <w:rsid w:val="00E30D87"/>
    <w:rsid w:val="00E313E5"/>
    <w:rsid w:val="00E31BD1"/>
    <w:rsid w:val="00E35018"/>
    <w:rsid w:val="00E35428"/>
    <w:rsid w:val="00E3597B"/>
    <w:rsid w:val="00E35EBF"/>
    <w:rsid w:val="00E41C60"/>
    <w:rsid w:val="00E42741"/>
    <w:rsid w:val="00E44B6E"/>
    <w:rsid w:val="00E44B82"/>
    <w:rsid w:val="00E456F6"/>
    <w:rsid w:val="00E45A8E"/>
    <w:rsid w:val="00E4606C"/>
    <w:rsid w:val="00E47259"/>
    <w:rsid w:val="00E5291B"/>
    <w:rsid w:val="00E55F53"/>
    <w:rsid w:val="00E56AE7"/>
    <w:rsid w:val="00E56D61"/>
    <w:rsid w:val="00E57DF6"/>
    <w:rsid w:val="00E607A1"/>
    <w:rsid w:val="00E60F0D"/>
    <w:rsid w:val="00E611B8"/>
    <w:rsid w:val="00E61539"/>
    <w:rsid w:val="00E6165C"/>
    <w:rsid w:val="00E624CE"/>
    <w:rsid w:val="00E647A7"/>
    <w:rsid w:val="00E64A4E"/>
    <w:rsid w:val="00E650DD"/>
    <w:rsid w:val="00E66458"/>
    <w:rsid w:val="00E7197F"/>
    <w:rsid w:val="00E72112"/>
    <w:rsid w:val="00E73345"/>
    <w:rsid w:val="00E74463"/>
    <w:rsid w:val="00E804A1"/>
    <w:rsid w:val="00E820C0"/>
    <w:rsid w:val="00E8317B"/>
    <w:rsid w:val="00E83E9A"/>
    <w:rsid w:val="00E8401A"/>
    <w:rsid w:val="00E84679"/>
    <w:rsid w:val="00E85CEC"/>
    <w:rsid w:val="00E87D2B"/>
    <w:rsid w:val="00E90EC5"/>
    <w:rsid w:val="00E91D83"/>
    <w:rsid w:val="00E92687"/>
    <w:rsid w:val="00E92BC9"/>
    <w:rsid w:val="00E92C32"/>
    <w:rsid w:val="00E9363D"/>
    <w:rsid w:val="00E93BAB"/>
    <w:rsid w:val="00E93E3A"/>
    <w:rsid w:val="00E946B2"/>
    <w:rsid w:val="00E9510A"/>
    <w:rsid w:val="00E95A07"/>
    <w:rsid w:val="00E97741"/>
    <w:rsid w:val="00EA026C"/>
    <w:rsid w:val="00EA0B97"/>
    <w:rsid w:val="00EA2CCF"/>
    <w:rsid w:val="00EA3E50"/>
    <w:rsid w:val="00EA4012"/>
    <w:rsid w:val="00EA59A0"/>
    <w:rsid w:val="00EA67CF"/>
    <w:rsid w:val="00EA6ACB"/>
    <w:rsid w:val="00EA6F37"/>
    <w:rsid w:val="00EA739D"/>
    <w:rsid w:val="00EA7D21"/>
    <w:rsid w:val="00EB03FF"/>
    <w:rsid w:val="00EB05E0"/>
    <w:rsid w:val="00EB0D2A"/>
    <w:rsid w:val="00EB1F85"/>
    <w:rsid w:val="00EB2E4E"/>
    <w:rsid w:val="00EB3203"/>
    <w:rsid w:val="00EB3B94"/>
    <w:rsid w:val="00EB6858"/>
    <w:rsid w:val="00EB74BB"/>
    <w:rsid w:val="00EC29CD"/>
    <w:rsid w:val="00EC36F1"/>
    <w:rsid w:val="00EC484F"/>
    <w:rsid w:val="00EC4B0B"/>
    <w:rsid w:val="00EC69E7"/>
    <w:rsid w:val="00ED1723"/>
    <w:rsid w:val="00ED2132"/>
    <w:rsid w:val="00ED289F"/>
    <w:rsid w:val="00ED29E3"/>
    <w:rsid w:val="00ED3B27"/>
    <w:rsid w:val="00ED4246"/>
    <w:rsid w:val="00ED510D"/>
    <w:rsid w:val="00ED5304"/>
    <w:rsid w:val="00ED60E2"/>
    <w:rsid w:val="00ED635E"/>
    <w:rsid w:val="00EE02D6"/>
    <w:rsid w:val="00EE09A5"/>
    <w:rsid w:val="00EE19B6"/>
    <w:rsid w:val="00EE1C75"/>
    <w:rsid w:val="00EE1E9A"/>
    <w:rsid w:val="00EE2073"/>
    <w:rsid w:val="00EE2498"/>
    <w:rsid w:val="00EE2C2F"/>
    <w:rsid w:val="00EE2E67"/>
    <w:rsid w:val="00EE5C62"/>
    <w:rsid w:val="00EE799D"/>
    <w:rsid w:val="00EF0129"/>
    <w:rsid w:val="00EF0291"/>
    <w:rsid w:val="00EF0AE3"/>
    <w:rsid w:val="00EF1F4E"/>
    <w:rsid w:val="00EF376F"/>
    <w:rsid w:val="00EF5139"/>
    <w:rsid w:val="00EF593C"/>
    <w:rsid w:val="00EF5C29"/>
    <w:rsid w:val="00EF607D"/>
    <w:rsid w:val="00EF6F06"/>
    <w:rsid w:val="00EF7EE3"/>
    <w:rsid w:val="00F00DD1"/>
    <w:rsid w:val="00F02611"/>
    <w:rsid w:val="00F03265"/>
    <w:rsid w:val="00F03910"/>
    <w:rsid w:val="00F03D35"/>
    <w:rsid w:val="00F063CD"/>
    <w:rsid w:val="00F064A7"/>
    <w:rsid w:val="00F100F2"/>
    <w:rsid w:val="00F114F8"/>
    <w:rsid w:val="00F11EC2"/>
    <w:rsid w:val="00F13DCD"/>
    <w:rsid w:val="00F151E3"/>
    <w:rsid w:val="00F17B1F"/>
    <w:rsid w:val="00F205BA"/>
    <w:rsid w:val="00F20D37"/>
    <w:rsid w:val="00F2143B"/>
    <w:rsid w:val="00F214D7"/>
    <w:rsid w:val="00F21594"/>
    <w:rsid w:val="00F2192B"/>
    <w:rsid w:val="00F2566A"/>
    <w:rsid w:val="00F25A59"/>
    <w:rsid w:val="00F26416"/>
    <w:rsid w:val="00F26B1A"/>
    <w:rsid w:val="00F27116"/>
    <w:rsid w:val="00F274A8"/>
    <w:rsid w:val="00F27E2A"/>
    <w:rsid w:val="00F3432C"/>
    <w:rsid w:val="00F3469B"/>
    <w:rsid w:val="00F347E1"/>
    <w:rsid w:val="00F37FBA"/>
    <w:rsid w:val="00F42167"/>
    <w:rsid w:val="00F42CD5"/>
    <w:rsid w:val="00F43C08"/>
    <w:rsid w:val="00F441E6"/>
    <w:rsid w:val="00F4438F"/>
    <w:rsid w:val="00F44D33"/>
    <w:rsid w:val="00F44DF8"/>
    <w:rsid w:val="00F45B03"/>
    <w:rsid w:val="00F47E2B"/>
    <w:rsid w:val="00F503D6"/>
    <w:rsid w:val="00F50B9A"/>
    <w:rsid w:val="00F5248C"/>
    <w:rsid w:val="00F535B3"/>
    <w:rsid w:val="00F55195"/>
    <w:rsid w:val="00F57599"/>
    <w:rsid w:val="00F63B87"/>
    <w:rsid w:val="00F641AE"/>
    <w:rsid w:val="00F64C31"/>
    <w:rsid w:val="00F6712F"/>
    <w:rsid w:val="00F672E1"/>
    <w:rsid w:val="00F723B7"/>
    <w:rsid w:val="00F73033"/>
    <w:rsid w:val="00F75404"/>
    <w:rsid w:val="00F7570E"/>
    <w:rsid w:val="00F801E8"/>
    <w:rsid w:val="00F8095A"/>
    <w:rsid w:val="00F80AB7"/>
    <w:rsid w:val="00F82AA7"/>
    <w:rsid w:val="00F8318E"/>
    <w:rsid w:val="00F83803"/>
    <w:rsid w:val="00F84AD0"/>
    <w:rsid w:val="00F856B8"/>
    <w:rsid w:val="00F86F3E"/>
    <w:rsid w:val="00F871FD"/>
    <w:rsid w:val="00F8727A"/>
    <w:rsid w:val="00F87F07"/>
    <w:rsid w:val="00F910D7"/>
    <w:rsid w:val="00F9154B"/>
    <w:rsid w:val="00F93062"/>
    <w:rsid w:val="00F9327A"/>
    <w:rsid w:val="00F94340"/>
    <w:rsid w:val="00F97672"/>
    <w:rsid w:val="00FA3864"/>
    <w:rsid w:val="00FA68A7"/>
    <w:rsid w:val="00FB0318"/>
    <w:rsid w:val="00FB3D71"/>
    <w:rsid w:val="00FB4C1F"/>
    <w:rsid w:val="00FC01A4"/>
    <w:rsid w:val="00FC0971"/>
    <w:rsid w:val="00FC0E4A"/>
    <w:rsid w:val="00FC3D04"/>
    <w:rsid w:val="00FC3D4D"/>
    <w:rsid w:val="00FC3E11"/>
    <w:rsid w:val="00FC3E18"/>
    <w:rsid w:val="00FC47C8"/>
    <w:rsid w:val="00FC564E"/>
    <w:rsid w:val="00FC66A9"/>
    <w:rsid w:val="00FC7D06"/>
    <w:rsid w:val="00FD0199"/>
    <w:rsid w:val="00FD03C3"/>
    <w:rsid w:val="00FD235A"/>
    <w:rsid w:val="00FD2E33"/>
    <w:rsid w:val="00FD345E"/>
    <w:rsid w:val="00FD489C"/>
    <w:rsid w:val="00FD677B"/>
    <w:rsid w:val="00FD7485"/>
    <w:rsid w:val="00FE0E8C"/>
    <w:rsid w:val="00FE0F78"/>
    <w:rsid w:val="00FE1872"/>
    <w:rsid w:val="00FE3C23"/>
    <w:rsid w:val="00FE4345"/>
    <w:rsid w:val="00FE50E8"/>
    <w:rsid w:val="00FE60AD"/>
    <w:rsid w:val="00FE703E"/>
    <w:rsid w:val="00FF0C28"/>
    <w:rsid w:val="00FF186B"/>
    <w:rsid w:val="00FF256F"/>
    <w:rsid w:val="00FF3DF0"/>
    <w:rsid w:val="00FF4705"/>
    <w:rsid w:val="00FF5D68"/>
    <w:rsid w:val="00FF6809"/>
    <w:rsid w:val="00FF68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00DA"/>
    <w:pPr>
      <w:spacing w:after="120"/>
      <w:jc w:val="both"/>
    </w:pPr>
    <w:rPr>
      <w:sz w:val="22"/>
      <w:szCs w:val="22"/>
      <w:lang w:val="en-GB" w:eastAsia="en-GB"/>
    </w:rPr>
  </w:style>
  <w:style w:type="paragraph" w:styleId="Heading1">
    <w:name w:val="heading 1"/>
    <w:basedOn w:val="Normal"/>
    <w:next w:val="Normal"/>
    <w:link w:val="Heading1Char"/>
    <w:qFormat/>
    <w:rsid w:val="00916B70"/>
    <w:pPr>
      <w:keepNext/>
      <w:keepLines/>
      <w:numPr>
        <w:numId w:val="37"/>
      </w:numPr>
      <w:spacing w:before="480" w:after="0"/>
      <w:outlineLvl w:val="0"/>
    </w:pPr>
    <w:rPr>
      <w:rFonts w:ascii="Cambria" w:hAnsi="Cambria"/>
      <w:b/>
      <w:bCs/>
      <w:color w:val="2DA2BF"/>
      <w:sz w:val="28"/>
      <w:szCs w:val="28"/>
    </w:rPr>
  </w:style>
  <w:style w:type="paragraph" w:styleId="Heading2">
    <w:name w:val="heading 2"/>
    <w:basedOn w:val="Normal"/>
    <w:next w:val="Normal"/>
    <w:link w:val="Heading2Char"/>
    <w:qFormat/>
    <w:rsid w:val="00F3469B"/>
    <w:pPr>
      <w:keepNext/>
      <w:keepLines/>
      <w:numPr>
        <w:ilvl w:val="1"/>
        <w:numId w:val="37"/>
      </w:numPr>
      <w:spacing w:before="200" w:after="0"/>
      <w:outlineLvl w:val="1"/>
    </w:pPr>
    <w:rPr>
      <w:rFonts w:ascii="Cambria" w:hAnsi="Cambria"/>
      <w:b/>
      <w:bCs/>
      <w:color w:val="2DA2BF"/>
      <w:sz w:val="26"/>
      <w:szCs w:val="26"/>
    </w:rPr>
  </w:style>
  <w:style w:type="paragraph" w:styleId="Heading3">
    <w:name w:val="heading 3"/>
    <w:basedOn w:val="Normal"/>
    <w:next w:val="Normal"/>
    <w:link w:val="Heading3Char"/>
    <w:qFormat/>
    <w:rsid w:val="00F3469B"/>
    <w:pPr>
      <w:keepNext/>
      <w:keepLines/>
      <w:numPr>
        <w:ilvl w:val="2"/>
        <w:numId w:val="37"/>
      </w:numPr>
      <w:spacing w:before="200" w:after="0"/>
      <w:outlineLvl w:val="2"/>
    </w:pPr>
    <w:rPr>
      <w:rFonts w:ascii="Cambria" w:hAnsi="Cambria"/>
      <w:b/>
      <w:bCs/>
      <w:color w:val="2DA2BF"/>
    </w:rPr>
  </w:style>
  <w:style w:type="paragraph" w:styleId="Heading4">
    <w:name w:val="heading 4"/>
    <w:basedOn w:val="Normal"/>
    <w:next w:val="Normal"/>
    <w:link w:val="Heading4Char"/>
    <w:qFormat/>
    <w:rsid w:val="00F3469B"/>
    <w:pPr>
      <w:keepNext/>
      <w:keepLines/>
      <w:numPr>
        <w:ilvl w:val="3"/>
        <w:numId w:val="37"/>
      </w:numPr>
      <w:spacing w:before="200" w:after="0"/>
      <w:outlineLvl w:val="3"/>
    </w:pPr>
    <w:rPr>
      <w:rFonts w:ascii="Cambria" w:hAnsi="Cambria"/>
      <w:b/>
      <w:bCs/>
      <w:i/>
      <w:iCs/>
      <w:color w:val="2DA2BF"/>
    </w:rPr>
  </w:style>
  <w:style w:type="paragraph" w:styleId="Heading5">
    <w:name w:val="heading 5"/>
    <w:basedOn w:val="Normal"/>
    <w:next w:val="Normal"/>
    <w:link w:val="Heading5Char"/>
    <w:qFormat/>
    <w:rsid w:val="00F3469B"/>
    <w:pPr>
      <w:keepNext/>
      <w:keepLines/>
      <w:numPr>
        <w:ilvl w:val="4"/>
        <w:numId w:val="37"/>
      </w:numPr>
      <w:spacing w:before="200" w:after="0"/>
      <w:outlineLvl w:val="4"/>
    </w:pPr>
    <w:rPr>
      <w:rFonts w:ascii="Cambria" w:hAnsi="Cambria"/>
      <w:color w:val="16505E"/>
    </w:rPr>
  </w:style>
  <w:style w:type="paragraph" w:styleId="Heading6">
    <w:name w:val="heading 6"/>
    <w:basedOn w:val="Normal"/>
    <w:next w:val="Normal"/>
    <w:link w:val="Heading6Char"/>
    <w:qFormat/>
    <w:locked/>
    <w:rsid w:val="00F3469B"/>
    <w:pPr>
      <w:keepNext/>
      <w:keepLines/>
      <w:numPr>
        <w:ilvl w:val="5"/>
        <w:numId w:val="37"/>
      </w:numPr>
      <w:spacing w:before="200" w:after="0"/>
      <w:outlineLvl w:val="5"/>
    </w:pPr>
    <w:rPr>
      <w:rFonts w:ascii="Cambria" w:hAnsi="Cambria"/>
      <w:i/>
      <w:iCs/>
      <w:color w:val="16505E"/>
    </w:rPr>
  </w:style>
  <w:style w:type="paragraph" w:styleId="Heading7">
    <w:name w:val="heading 7"/>
    <w:basedOn w:val="Normal"/>
    <w:next w:val="Normal"/>
    <w:link w:val="Heading7Char"/>
    <w:qFormat/>
    <w:locked/>
    <w:rsid w:val="00F3469B"/>
    <w:pPr>
      <w:keepNext/>
      <w:keepLines/>
      <w:numPr>
        <w:ilvl w:val="6"/>
        <w:numId w:val="37"/>
      </w:numPr>
      <w:spacing w:before="200" w:after="0"/>
      <w:outlineLvl w:val="6"/>
    </w:pPr>
    <w:rPr>
      <w:rFonts w:ascii="Cambria" w:hAnsi="Cambria"/>
      <w:i/>
      <w:iCs/>
      <w:color w:val="404040"/>
    </w:rPr>
  </w:style>
  <w:style w:type="paragraph" w:styleId="Heading8">
    <w:name w:val="heading 8"/>
    <w:basedOn w:val="Normal"/>
    <w:next w:val="Normal"/>
    <w:link w:val="Heading8Char"/>
    <w:qFormat/>
    <w:locked/>
    <w:rsid w:val="00F3469B"/>
    <w:pPr>
      <w:keepNext/>
      <w:keepLines/>
      <w:numPr>
        <w:ilvl w:val="7"/>
        <w:numId w:val="37"/>
      </w:numPr>
      <w:spacing w:before="200" w:after="0"/>
      <w:outlineLvl w:val="7"/>
    </w:pPr>
    <w:rPr>
      <w:rFonts w:ascii="Cambria" w:hAnsi="Cambria"/>
      <w:color w:val="2DA2BF"/>
      <w:sz w:val="20"/>
      <w:szCs w:val="20"/>
    </w:rPr>
  </w:style>
  <w:style w:type="paragraph" w:styleId="Heading9">
    <w:name w:val="heading 9"/>
    <w:basedOn w:val="Normal"/>
    <w:next w:val="Normal"/>
    <w:link w:val="Heading9Char"/>
    <w:qFormat/>
    <w:locked/>
    <w:rsid w:val="00F3469B"/>
    <w:pPr>
      <w:keepNext/>
      <w:keepLines/>
      <w:numPr>
        <w:ilvl w:val="8"/>
        <w:numId w:val="37"/>
      </w:numPr>
      <w:spacing w:before="200" w:after="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16B70"/>
    <w:rPr>
      <w:rFonts w:ascii="Cambria" w:hAnsi="Cambria"/>
      <w:b/>
      <w:bCs/>
      <w:color w:val="2DA2BF"/>
      <w:sz w:val="28"/>
      <w:szCs w:val="28"/>
    </w:rPr>
  </w:style>
  <w:style w:type="character" w:customStyle="1" w:styleId="Heading2Char">
    <w:name w:val="Heading 2 Char"/>
    <w:link w:val="Heading2"/>
    <w:locked/>
    <w:rsid w:val="002400A5"/>
    <w:rPr>
      <w:rFonts w:ascii="Cambria" w:hAnsi="Cambria"/>
      <w:b/>
      <w:bCs/>
      <w:color w:val="2DA2BF"/>
      <w:sz w:val="26"/>
      <w:szCs w:val="26"/>
    </w:rPr>
  </w:style>
  <w:style w:type="character" w:customStyle="1" w:styleId="Heading3Char">
    <w:name w:val="Heading 3 Char"/>
    <w:link w:val="Heading3"/>
    <w:locked/>
    <w:rsid w:val="00A16D45"/>
    <w:rPr>
      <w:rFonts w:ascii="Cambria" w:hAnsi="Cambria"/>
      <w:b/>
      <w:bCs/>
      <w:color w:val="2DA2BF"/>
      <w:sz w:val="22"/>
      <w:szCs w:val="22"/>
    </w:rPr>
  </w:style>
  <w:style w:type="character" w:customStyle="1" w:styleId="Heading4Char">
    <w:name w:val="Heading 4 Char"/>
    <w:link w:val="Heading4"/>
    <w:locked/>
    <w:rsid w:val="00A16D45"/>
    <w:rPr>
      <w:rFonts w:ascii="Cambria" w:hAnsi="Cambria"/>
      <w:b/>
      <w:bCs/>
      <w:i/>
      <w:iCs/>
      <w:color w:val="2DA2BF"/>
      <w:sz w:val="22"/>
      <w:szCs w:val="22"/>
    </w:rPr>
  </w:style>
  <w:style w:type="character" w:customStyle="1" w:styleId="Heading5Char">
    <w:name w:val="Heading 5 Char"/>
    <w:link w:val="Heading5"/>
    <w:locked/>
    <w:rsid w:val="00A16D45"/>
    <w:rPr>
      <w:rFonts w:ascii="Cambria" w:hAnsi="Cambria"/>
      <w:color w:val="16505E"/>
      <w:sz w:val="22"/>
      <w:szCs w:val="22"/>
    </w:rPr>
  </w:style>
  <w:style w:type="character" w:customStyle="1" w:styleId="Heading6Char">
    <w:name w:val="Heading 6 Char"/>
    <w:link w:val="Heading6"/>
    <w:rsid w:val="00A16D45"/>
    <w:rPr>
      <w:rFonts w:ascii="Cambria" w:hAnsi="Cambria"/>
      <w:i/>
      <w:iCs/>
      <w:color w:val="16505E"/>
      <w:sz w:val="22"/>
      <w:szCs w:val="22"/>
    </w:rPr>
  </w:style>
  <w:style w:type="character" w:customStyle="1" w:styleId="Heading7Char">
    <w:name w:val="Heading 7 Char"/>
    <w:link w:val="Heading7"/>
    <w:rsid w:val="00A16D45"/>
    <w:rPr>
      <w:rFonts w:ascii="Cambria" w:hAnsi="Cambria"/>
      <w:i/>
      <w:iCs/>
      <w:color w:val="404040"/>
      <w:sz w:val="22"/>
      <w:szCs w:val="22"/>
    </w:rPr>
  </w:style>
  <w:style w:type="character" w:customStyle="1" w:styleId="Heading8Char">
    <w:name w:val="Heading 8 Char"/>
    <w:link w:val="Heading8"/>
    <w:rsid w:val="00A16D45"/>
    <w:rPr>
      <w:rFonts w:ascii="Cambria" w:hAnsi="Cambria"/>
      <w:color w:val="2DA2BF"/>
    </w:rPr>
  </w:style>
  <w:style w:type="character" w:customStyle="1" w:styleId="Heading9Char">
    <w:name w:val="Heading 9 Char"/>
    <w:link w:val="Heading9"/>
    <w:rsid w:val="00A16D45"/>
    <w:rPr>
      <w:rFonts w:ascii="Cambria" w:hAnsi="Cambria"/>
      <w:i/>
      <w:iCs/>
      <w:color w:val="404040"/>
    </w:rPr>
  </w:style>
  <w:style w:type="paragraph" w:styleId="FootnoteText">
    <w:name w:val="footnote text"/>
    <w:aliases w:val="M Footnotes"/>
    <w:basedOn w:val="Normal"/>
    <w:link w:val="FootnoteTextChar"/>
    <w:uiPriority w:val="99"/>
    <w:qFormat/>
    <w:locked/>
    <w:rsid w:val="00B161A6"/>
    <w:rPr>
      <w:sz w:val="20"/>
      <w:szCs w:val="20"/>
    </w:rPr>
  </w:style>
  <w:style w:type="character" w:customStyle="1" w:styleId="FootnoteTextChar">
    <w:name w:val="Footnote Text Char"/>
    <w:aliases w:val="M Footnotes Char"/>
    <w:basedOn w:val="DefaultParagraphFont"/>
    <w:link w:val="FootnoteText"/>
    <w:uiPriority w:val="99"/>
    <w:rsid w:val="00B161A6"/>
  </w:style>
  <w:style w:type="character" w:styleId="FootnoteReference">
    <w:name w:val="footnote reference"/>
    <w:aliases w:val="SUPERS,stylish,BVI fnr,Footnote symbol, BVI fnr,Footnote Refernece,callout,16 Point,Superscript 6 Point,Odwołanie przypisu,Footnote Reference Number,Footnote Reference Superscript,Times 10 Point,Exposant 3 Point,Ref,de nota al pi"/>
    <w:uiPriority w:val="99"/>
    <w:qFormat/>
    <w:rsid w:val="00DD4D4B"/>
    <w:rPr>
      <w:vertAlign w:val="superscript"/>
    </w:rPr>
  </w:style>
  <w:style w:type="table" w:styleId="TableGrid">
    <w:name w:val="Table Grid"/>
    <w:basedOn w:val="TableNormal"/>
    <w:uiPriority w:val="99"/>
    <w:rsid w:val="009C197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D4D4B"/>
    <w:pPr>
      <w:tabs>
        <w:tab w:val="center" w:pos="4513"/>
        <w:tab w:val="right" w:pos="9026"/>
      </w:tabs>
      <w:spacing w:after="0"/>
    </w:pPr>
    <w:rPr>
      <w:sz w:val="20"/>
      <w:szCs w:val="20"/>
      <w:lang w:val="fr-FR" w:eastAsia="zh-CN"/>
    </w:rPr>
  </w:style>
  <w:style w:type="character" w:customStyle="1" w:styleId="HeaderChar">
    <w:name w:val="Header Char"/>
    <w:link w:val="Header"/>
    <w:uiPriority w:val="99"/>
    <w:locked/>
    <w:rsid w:val="007A18BF"/>
    <w:rPr>
      <w:rFonts w:cs="Calibri"/>
      <w:lang w:val="fr-FR" w:eastAsia="zh-CN"/>
    </w:rPr>
  </w:style>
  <w:style w:type="paragraph" w:styleId="Footer">
    <w:name w:val="footer"/>
    <w:basedOn w:val="Normal"/>
    <w:link w:val="FooterChar"/>
    <w:rsid w:val="00DD4D4B"/>
    <w:pPr>
      <w:tabs>
        <w:tab w:val="center" w:pos="4513"/>
        <w:tab w:val="right" w:pos="9026"/>
      </w:tabs>
      <w:spacing w:after="0"/>
    </w:pPr>
    <w:rPr>
      <w:sz w:val="20"/>
      <w:szCs w:val="20"/>
      <w:lang w:val="fr-FR" w:eastAsia="zh-CN"/>
    </w:rPr>
  </w:style>
  <w:style w:type="character" w:customStyle="1" w:styleId="FooterChar">
    <w:name w:val="Footer Char"/>
    <w:link w:val="Footer"/>
    <w:locked/>
    <w:rsid w:val="007A18BF"/>
    <w:rPr>
      <w:rFonts w:cs="Calibri"/>
      <w:lang w:val="fr-FR" w:eastAsia="zh-CN"/>
    </w:rPr>
  </w:style>
  <w:style w:type="paragraph" w:styleId="BalloonText">
    <w:name w:val="Balloon Text"/>
    <w:basedOn w:val="Normal"/>
    <w:link w:val="BalloonTextChar"/>
    <w:uiPriority w:val="99"/>
    <w:semiHidden/>
    <w:rsid w:val="00DD4D4B"/>
    <w:pPr>
      <w:spacing w:after="0"/>
    </w:pPr>
    <w:rPr>
      <w:rFonts w:ascii="Tahoma" w:hAnsi="Tahoma" w:cs="Tahoma"/>
      <w:sz w:val="16"/>
      <w:szCs w:val="16"/>
      <w:lang w:val="fr-FR" w:eastAsia="zh-CN"/>
    </w:rPr>
  </w:style>
  <w:style w:type="character" w:customStyle="1" w:styleId="BalloonTextChar">
    <w:name w:val="Balloon Text Char"/>
    <w:link w:val="BalloonText"/>
    <w:uiPriority w:val="99"/>
    <w:semiHidden/>
    <w:locked/>
    <w:rsid w:val="002442AB"/>
    <w:rPr>
      <w:rFonts w:ascii="Tahoma" w:hAnsi="Tahoma" w:cs="Tahoma"/>
      <w:sz w:val="16"/>
      <w:szCs w:val="16"/>
      <w:lang w:val="fr-FR" w:eastAsia="zh-CN"/>
    </w:rPr>
  </w:style>
  <w:style w:type="character" w:styleId="Hyperlink">
    <w:name w:val="Hyperlink"/>
    <w:uiPriority w:val="99"/>
    <w:rsid w:val="00DD4D4B"/>
    <w:rPr>
      <w:color w:val="0000FF"/>
      <w:u w:val="single"/>
    </w:rPr>
  </w:style>
  <w:style w:type="paragraph" w:styleId="ListBullet">
    <w:name w:val="List Bullet"/>
    <w:basedOn w:val="Normal"/>
    <w:uiPriority w:val="99"/>
    <w:semiHidden/>
    <w:rsid w:val="00BB5C51"/>
    <w:pPr>
      <w:widowControl w:val="0"/>
      <w:suppressAutoHyphens/>
      <w:spacing w:after="0"/>
    </w:pPr>
    <w:rPr>
      <w:kern w:val="2"/>
      <w:lang w:eastAsia="hi-IN" w:bidi="hi-IN"/>
    </w:rPr>
  </w:style>
  <w:style w:type="character" w:styleId="CommentReference">
    <w:name w:val="annotation reference"/>
    <w:uiPriority w:val="99"/>
    <w:semiHidden/>
    <w:rsid w:val="00DD4D4B"/>
    <w:rPr>
      <w:sz w:val="16"/>
      <w:szCs w:val="16"/>
    </w:rPr>
  </w:style>
  <w:style w:type="paragraph" w:styleId="CommentText">
    <w:name w:val="annotation text"/>
    <w:basedOn w:val="Normal"/>
    <w:link w:val="CommentTextChar"/>
    <w:semiHidden/>
    <w:rsid w:val="00DD4D4B"/>
    <w:rPr>
      <w:sz w:val="20"/>
      <w:szCs w:val="20"/>
      <w:lang w:val="fr-FR"/>
    </w:rPr>
  </w:style>
  <w:style w:type="character" w:customStyle="1" w:styleId="CommentTextChar">
    <w:name w:val="Comment Text Char"/>
    <w:link w:val="CommentText"/>
    <w:semiHidden/>
    <w:locked/>
    <w:rsid w:val="00AC0EF4"/>
    <w:rPr>
      <w:rFonts w:cs="Calibri"/>
      <w:lang w:val="fr-FR" w:eastAsia="en-US"/>
    </w:rPr>
  </w:style>
  <w:style w:type="paragraph" w:styleId="CommentSubject">
    <w:name w:val="annotation subject"/>
    <w:basedOn w:val="CommentText"/>
    <w:next w:val="CommentText"/>
    <w:link w:val="CommentSubjectChar"/>
    <w:uiPriority w:val="99"/>
    <w:semiHidden/>
    <w:rsid w:val="00DD4D4B"/>
    <w:rPr>
      <w:b/>
      <w:bCs/>
      <w:lang/>
    </w:rPr>
  </w:style>
  <w:style w:type="character" w:customStyle="1" w:styleId="CommentSubjectChar">
    <w:name w:val="Comment Subject Char"/>
    <w:link w:val="CommentSubject"/>
    <w:uiPriority w:val="99"/>
    <w:semiHidden/>
    <w:locked/>
    <w:rsid w:val="00AC0EF4"/>
    <w:rPr>
      <w:rFonts w:cs="Calibri"/>
      <w:b/>
      <w:bCs/>
      <w:lang w:eastAsia="en-US"/>
    </w:rPr>
  </w:style>
  <w:style w:type="paragraph" w:customStyle="1" w:styleId="Revisin">
    <w:name w:val="Revisión"/>
    <w:hidden/>
    <w:uiPriority w:val="99"/>
    <w:semiHidden/>
    <w:rsid w:val="000C4E9D"/>
    <w:pPr>
      <w:spacing w:after="200" w:line="276" w:lineRule="auto"/>
    </w:pPr>
    <w:rPr>
      <w:rFonts w:cs="Calibri"/>
      <w:sz w:val="22"/>
      <w:szCs w:val="22"/>
      <w:lang w:val="en-GB" w:eastAsia="en-US"/>
    </w:rPr>
  </w:style>
  <w:style w:type="paragraph" w:customStyle="1" w:styleId="Revisin1">
    <w:name w:val="Revisión1"/>
    <w:hidden/>
    <w:uiPriority w:val="99"/>
    <w:semiHidden/>
    <w:rsid w:val="00C672CE"/>
    <w:pPr>
      <w:spacing w:after="200" w:line="276" w:lineRule="auto"/>
    </w:pPr>
    <w:rPr>
      <w:rFonts w:cs="Calibri"/>
      <w:sz w:val="22"/>
      <w:szCs w:val="22"/>
      <w:lang w:val="en-GB" w:eastAsia="en-US"/>
    </w:rPr>
  </w:style>
  <w:style w:type="character" w:styleId="FollowedHyperlink">
    <w:name w:val="FollowedHyperlink"/>
    <w:uiPriority w:val="99"/>
    <w:semiHidden/>
    <w:unhideWhenUsed/>
    <w:rsid w:val="00DD4D4B"/>
    <w:rPr>
      <w:color w:val="800080"/>
      <w:u w:val="single"/>
    </w:rPr>
  </w:style>
  <w:style w:type="paragraph" w:styleId="DocumentMap">
    <w:name w:val="Document Map"/>
    <w:basedOn w:val="Normal"/>
    <w:link w:val="DocumentMapChar"/>
    <w:uiPriority w:val="99"/>
    <w:semiHidden/>
    <w:rsid w:val="00BB5C51"/>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BB5C51"/>
    <w:rPr>
      <w:rFonts w:ascii="Tahoma" w:hAnsi="Tahoma" w:cs="Tahoma"/>
      <w:shd w:val="clear" w:color="auto" w:fill="000080"/>
      <w:lang w:eastAsia="en-US"/>
    </w:rPr>
  </w:style>
  <w:style w:type="paragraph" w:styleId="Title">
    <w:name w:val="Title"/>
    <w:basedOn w:val="Normal"/>
    <w:next w:val="Normal"/>
    <w:link w:val="TitleChar"/>
    <w:uiPriority w:val="10"/>
    <w:qFormat/>
    <w:locked/>
    <w:rsid w:val="00883B7A"/>
    <w:pPr>
      <w:pBdr>
        <w:bottom w:val="single" w:sz="8" w:space="4" w:color="2DA2BF"/>
      </w:pBdr>
      <w:spacing w:after="300"/>
      <w:contextualSpacing/>
    </w:pPr>
    <w:rPr>
      <w:rFonts w:ascii="Cambria" w:hAnsi="Cambria"/>
      <w:color w:val="343434"/>
      <w:spacing w:val="5"/>
      <w:kern w:val="28"/>
      <w:sz w:val="36"/>
      <w:szCs w:val="52"/>
    </w:rPr>
  </w:style>
  <w:style w:type="character" w:customStyle="1" w:styleId="TitleChar">
    <w:name w:val="Title Char"/>
    <w:link w:val="Title"/>
    <w:uiPriority w:val="10"/>
    <w:rsid w:val="00883B7A"/>
    <w:rPr>
      <w:rFonts w:ascii="Cambria" w:hAnsi="Cambria"/>
      <w:color w:val="343434"/>
      <w:spacing w:val="5"/>
      <w:kern w:val="28"/>
      <w:sz w:val="36"/>
      <w:szCs w:val="52"/>
    </w:rPr>
  </w:style>
  <w:style w:type="character" w:styleId="Emphasis">
    <w:name w:val="Emphasis"/>
    <w:uiPriority w:val="20"/>
    <w:qFormat/>
    <w:locked/>
    <w:rsid w:val="00A16D45"/>
    <w:rPr>
      <w:i/>
      <w:iCs/>
    </w:rPr>
  </w:style>
  <w:style w:type="paragraph" w:styleId="Caption">
    <w:name w:val="caption"/>
    <w:aliases w:val="M Caption"/>
    <w:basedOn w:val="Normal"/>
    <w:next w:val="Normal"/>
    <w:uiPriority w:val="35"/>
    <w:qFormat/>
    <w:locked/>
    <w:rsid w:val="00F3469B"/>
    <w:rPr>
      <w:b/>
      <w:bCs/>
      <w:color w:val="2DA2BF"/>
      <w:sz w:val="18"/>
      <w:szCs w:val="18"/>
    </w:rPr>
  </w:style>
  <w:style w:type="paragraph" w:styleId="Subtitle">
    <w:name w:val="Subtitle"/>
    <w:basedOn w:val="Normal"/>
    <w:next w:val="Normal"/>
    <w:link w:val="SubtitleChar"/>
    <w:uiPriority w:val="11"/>
    <w:qFormat/>
    <w:locked/>
    <w:rsid w:val="00A16D45"/>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A16D45"/>
    <w:rPr>
      <w:rFonts w:ascii="Cambria" w:eastAsia="Times New Roman" w:hAnsi="Cambria" w:cs="Times New Roman"/>
      <w:i/>
      <w:iCs/>
      <w:color w:val="2DA2BF"/>
      <w:spacing w:val="15"/>
      <w:sz w:val="24"/>
      <w:szCs w:val="24"/>
    </w:rPr>
  </w:style>
  <w:style w:type="paragraph" w:customStyle="1" w:styleId="TtulodeTDC">
    <w:name w:val="Título de TDC"/>
    <w:basedOn w:val="Heading1"/>
    <w:next w:val="Normal"/>
    <w:uiPriority w:val="39"/>
    <w:semiHidden/>
    <w:unhideWhenUsed/>
    <w:qFormat/>
    <w:rsid w:val="00A16D45"/>
    <w:pPr>
      <w:outlineLvl w:val="9"/>
    </w:pPr>
    <w:rPr>
      <w:color w:val="21798E"/>
    </w:rPr>
  </w:style>
  <w:style w:type="paragraph" w:customStyle="1" w:styleId="TtulodeTDC1">
    <w:name w:val="Título de TDC1"/>
    <w:basedOn w:val="Heading1"/>
    <w:next w:val="Normal"/>
    <w:uiPriority w:val="39"/>
    <w:semiHidden/>
    <w:unhideWhenUsed/>
    <w:qFormat/>
    <w:rsid w:val="00C672CE"/>
    <w:pPr>
      <w:outlineLvl w:val="9"/>
    </w:pPr>
  </w:style>
  <w:style w:type="paragraph" w:styleId="Revision">
    <w:name w:val="Revision"/>
    <w:hidden/>
    <w:uiPriority w:val="99"/>
    <w:semiHidden/>
    <w:rsid w:val="00272825"/>
    <w:pPr>
      <w:spacing w:after="200" w:line="276" w:lineRule="auto"/>
    </w:pPr>
    <w:rPr>
      <w:rFonts w:cs="Calibri"/>
      <w:sz w:val="22"/>
      <w:szCs w:val="22"/>
      <w:lang w:val="en-GB" w:eastAsia="en-US"/>
    </w:rPr>
  </w:style>
  <w:style w:type="character" w:styleId="IntenseEmphasis">
    <w:name w:val="Intense Emphasis"/>
    <w:uiPriority w:val="21"/>
    <w:qFormat/>
    <w:rsid w:val="00272825"/>
    <w:rPr>
      <w:b/>
      <w:bCs/>
      <w:i/>
      <w:iCs/>
      <w:color w:val="2DA2BF"/>
    </w:rPr>
  </w:style>
  <w:style w:type="paragraph" w:styleId="TOCHeading">
    <w:name w:val="TOC Heading"/>
    <w:basedOn w:val="Heading1"/>
    <w:next w:val="Normal"/>
    <w:uiPriority w:val="39"/>
    <w:qFormat/>
    <w:rsid w:val="00272825"/>
    <w:pPr>
      <w:outlineLvl w:val="9"/>
    </w:pPr>
    <w:rPr>
      <w:lang/>
    </w:rPr>
  </w:style>
  <w:style w:type="character" w:customStyle="1" w:styleId="CommentTextChar1">
    <w:name w:val="Comment Text Char1"/>
    <w:uiPriority w:val="99"/>
    <w:semiHidden/>
    <w:locked/>
    <w:rsid w:val="002F1D2D"/>
    <w:rPr>
      <w:rFonts w:cs="Calibri"/>
      <w:lang w:val="fr-FR" w:eastAsia="en-US"/>
    </w:rPr>
  </w:style>
  <w:style w:type="paragraph" w:customStyle="1" w:styleId="berarbeitung">
    <w:name w:val="Überarbeitung"/>
    <w:hidden/>
    <w:uiPriority w:val="99"/>
    <w:semiHidden/>
    <w:rsid w:val="002F1D2D"/>
    <w:pPr>
      <w:spacing w:after="200" w:line="276" w:lineRule="auto"/>
    </w:pPr>
    <w:rPr>
      <w:rFonts w:cs="Calibri"/>
      <w:sz w:val="22"/>
      <w:szCs w:val="22"/>
      <w:lang w:val="en-GB" w:eastAsia="en-US"/>
    </w:rPr>
  </w:style>
  <w:style w:type="paragraph" w:customStyle="1" w:styleId="Inhaltsverzeichnisberschrift">
    <w:name w:val="Inhaltsverzeichnisüberschrift"/>
    <w:basedOn w:val="Heading1"/>
    <w:next w:val="Normal"/>
    <w:uiPriority w:val="39"/>
    <w:semiHidden/>
    <w:unhideWhenUsed/>
    <w:qFormat/>
    <w:rsid w:val="002F1D2D"/>
    <w:pPr>
      <w:outlineLvl w:val="9"/>
    </w:pPr>
    <w:rPr>
      <w:lang/>
    </w:rPr>
  </w:style>
  <w:style w:type="paragraph" w:customStyle="1" w:styleId="berarbeitung1">
    <w:name w:val="Überarbeitung1"/>
    <w:hidden/>
    <w:uiPriority w:val="99"/>
    <w:semiHidden/>
    <w:rsid w:val="006F67F0"/>
    <w:pPr>
      <w:spacing w:after="200" w:line="276" w:lineRule="auto"/>
    </w:pPr>
    <w:rPr>
      <w:rFonts w:cs="Calibri"/>
      <w:sz w:val="22"/>
      <w:szCs w:val="22"/>
      <w:lang w:val="en-GB" w:eastAsia="en-US"/>
    </w:rPr>
  </w:style>
  <w:style w:type="paragraph" w:customStyle="1" w:styleId="Inhaltsverzeichnisberschrift1">
    <w:name w:val="Inhaltsverzeichnisüberschrift1"/>
    <w:basedOn w:val="Heading1"/>
    <w:next w:val="Normal"/>
    <w:uiPriority w:val="39"/>
    <w:semiHidden/>
    <w:unhideWhenUsed/>
    <w:qFormat/>
    <w:rsid w:val="002F1D2D"/>
    <w:pPr>
      <w:numPr>
        <w:numId w:val="1"/>
      </w:numPr>
      <w:outlineLvl w:val="9"/>
    </w:pPr>
    <w:rPr>
      <w:lang/>
    </w:rPr>
  </w:style>
  <w:style w:type="paragraph" w:styleId="NormalWeb">
    <w:name w:val="Normal (Web)"/>
    <w:basedOn w:val="Normal"/>
    <w:uiPriority w:val="99"/>
    <w:semiHidden/>
    <w:unhideWhenUsed/>
    <w:rsid w:val="005D2897"/>
    <w:pPr>
      <w:spacing w:after="0"/>
    </w:pPr>
    <w:rPr>
      <w:rFonts w:ascii="Times New Roman" w:eastAsia="Calibri" w:hAnsi="Times New Roman"/>
      <w:sz w:val="24"/>
      <w:szCs w:val="24"/>
    </w:rPr>
  </w:style>
  <w:style w:type="paragraph" w:styleId="z-TopofForm">
    <w:name w:val="HTML Top of Form"/>
    <w:basedOn w:val="Normal"/>
    <w:next w:val="Normal"/>
    <w:link w:val="z-TopofFormChar"/>
    <w:hidden/>
    <w:uiPriority w:val="99"/>
    <w:semiHidden/>
    <w:unhideWhenUsed/>
    <w:rsid w:val="0035797F"/>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35797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5797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35797F"/>
    <w:rPr>
      <w:rFonts w:ascii="Arial" w:hAnsi="Arial" w:cs="Arial"/>
      <w:vanish/>
      <w:sz w:val="16"/>
      <w:szCs w:val="16"/>
    </w:rPr>
  </w:style>
  <w:style w:type="character" w:styleId="PageNumber">
    <w:name w:val="page number"/>
    <w:rsid w:val="00E56AE7"/>
  </w:style>
  <w:style w:type="paragraph" w:styleId="TOC1">
    <w:name w:val="toc 1"/>
    <w:basedOn w:val="Normal"/>
    <w:next w:val="Normal"/>
    <w:autoRedefine/>
    <w:uiPriority w:val="39"/>
    <w:qFormat/>
    <w:locked/>
    <w:rsid w:val="00E56AE7"/>
  </w:style>
  <w:style w:type="paragraph" w:styleId="TOC2">
    <w:name w:val="toc 2"/>
    <w:basedOn w:val="Normal"/>
    <w:next w:val="Normal"/>
    <w:autoRedefine/>
    <w:uiPriority w:val="39"/>
    <w:qFormat/>
    <w:locked/>
    <w:rsid w:val="00E56AE7"/>
    <w:pPr>
      <w:ind w:left="220"/>
    </w:pPr>
  </w:style>
  <w:style w:type="paragraph" w:styleId="TOC3">
    <w:name w:val="toc 3"/>
    <w:basedOn w:val="Normal"/>
    <w:next w:val="Normal"/>
    <w:autoRedefine/>
    <w:uiPriority w:val="39"/>
    <w:unhideWhenUsed/>
    <w:qFormat/>
    <w:locked/>
    <w:rsid w:val="00E56AE7"/>
    <w:pPr>
      <w:spacing w:after="100" w:line="276" w:lineRule="auto"/>
      <w:ind w:left="440"/>
      <w:jc w:val="left"/>
    </w:pPr>
  </w:style>
  <w:style w:type="paragraph" w:styleId="TOC4">
    <w:name w:val="toc 4"/>
    <w:basedOn w:val="Normal"/>
    <w:next w:val="Normal"/>
    <w:autoRedefine/>
    <w:uiPriority w:val="39"/>
    <w:unhideWhenUsed/>
    <w:locked/>
    <w:rsid w:val="00E56AE7"/>
    <w:pPr>
      <w:spacing w:after="100" w:line="276" w:lineRule="auto"/>
      <w:ind w:left="660"/>
      <w:jc w:val="left"/>
    </w:pPr>
  </w:style>
  <w:style w:type="paragraph" w:styleId="TOC5">
    <w:name w:val="toc 5"/>
    <w:basedOn w:val="Normal"/>
    <w:next w:val="Normal"/>
    <w:autoRedefine/>
    <w:uiPriority w:val="39"/>
    <w:unhideWhenUsed/>
    <w:locked/>
    <w:rsid w:val="00E56AE7"/>
    <w:pPr>
      <w:spacing w:after="100" w:line="276" w:lineRule="auto"/>
      <w:ind w:left="880"/>
      <w:jc w:val="left"/>
    </w:pPr>
  </w:style>
  <w:style w:type="paragraph" w:styleId="TOC6">
    <w:name w:val="toc 6"/>
    <w:basedOn w:val="Normal"/>
    <w:next w:val="Normal"/>
    <w:autoRedefine/>
    <w:uiPriority w:val="39"/>
    <w:unhideWhenUsed/>
    <w:locked/>
    <w:rsid w:val="00E56AE7"/>
    <w:pPr>
      <w:spacing w:after="100" w:line="276" w:lineRule="auto"/>
      <w:ind w:left="1100"/>
      <w:jc w:val="left"/>
    </w:pPr>
  </w:style>
  <w:style w:type="paragraph" w:styleId="TOC7">
    <w:name w:val="toc 7"/>
    <w:basedOn w:val="Normal"/>
    <w:next w:val="Normal"/>
    <w:autoRedefine/>
    <w:uiPriority w:val="39"/>
    <w:unhideWhenUsed/>
    <w:locked/>
    <w:rsid w:val="00E56AE7"/>
    <w:pPr>
      <w:spacing w:after="100" w:line="276" w:lineRule="auto"/>
      <w:ind w:left="1320"/>
      <w:jc w:val="left"/>
    </w:pPr>
  </w:style>
  <w:style w:type="paragraph" w:styleId="TOC8">
    <w:name w:val="toc 8"/>
    <w:basedOn w:val="Normal"/>
    <w:next w:val="Normal"/>
    <w:autoRedefine/>
    <w:uiPriority w:val="39"/>
    <w:unhideWhenUsed/>
    <w:locked/>
    <w:rsid w:val="00E56AE7"/>
    <w:pPr>
      <w:spacing w:after="100" w:line="276" w:lineRule="auto"/>
      <w:ind w:left="1540"/>
      <w:jc w:val="left"/>
    </w:pPr>
  </w:style>
  <w:style w:type="paragraph" w:styleId="TOC9">
    <w:name w:val="toc 9"/>
    <w:basedOn w:val="Normal"/>
    <w:next w:val="Normal"/>
    <w:autoRedefine/>
    <w:uiPriority w:val="39"/>
    <w:unhideWhenUsed/>
    <w:locked/>
    <w:rsid w:val="00E56AE7"/>
    <w:pPr>
      <w:spacing w:after="100" w:line="276" w:lineRule="auto"/>
      <w:ind w:left="1760"/>
      <w:jc w:val="left"/>
    </w:pPr>
  </w:style>
  <w:style w:type="paragraph" w:customStyle="1" w:styleId="Tablecontents">
    <w:name w:val="Table contents"/>
    <w:basedOn w:val="Normal"/>
    <w:qFormat/>
    <w:rsid w:val="00010C7E"/>
    <w:pPr>
      <w:spacing w:before="60" w:after="60"/>
    </w:pPr>
    <w:rPr>
      <w:sz w:val="18"/>
      <w:lang w:eastAsia="en-US"/>
    </w:rPr>
  </w:style>
  <w:style w:type="paragraph" w:customStyle="1" w:styleId="Tableheader">
    <w:name w:val="Table header"/>
    <w:basedOn w:val="Tablecontents"/>
    <w:qFormat/>
    <w:rsid w:val="00010C7E"/>
    <w:rPr>
      <w:b/>
      <w:sz w:val="22"/>
    </w:rPr>
  </w:style>
  <w:style w:type="paragraph" w:styleId="ListParagraph">
    <w:name w:val="List Paragraph"/>
    <w:basedOn w:val="Normal"/>
    <w:uiPriority w:val="34"/>
    <w:qFormat/>
    <w:rsid w:val="00213319"/>
    <w:pPr>
      <w:spacing w:after="240"/>
      <w:ind w:left="720"/>
      <w:contextualSpacing/>
    </w:pPr>
    <w:rPr>
      <w:rFonts w:ascii="Times New Roman" w:hAnsi="Times New Roman"/>
      <w:sz w:val="24"/>
      <w:szCs w:val="20"/>
      <w:lang w:eastAsia="en-US"/>
    </w:rPr>
  </w:style>
  <w:style w:type="paragraph" w:customStyle="1" w:styleId="font5">
    <w:name w:val="font5"/>
    <w:basedOn w:val="Normal"/>
    <w:rsid w:val="00A43A1B"/>
    <w:pPr>
      <w:spacing w:before="100" w:beforeAutospacing="1" w:after="100" w:afterAutospacing="1"/>
      <w:jc w:val="left"/>
    </w:pPr>
    <w:rPr>
      <w:color w:val="000000"/>
      <w:sz w:val="20"/>
      <w:szCs w:val="20"/>
    </w:rPr>
  </w:style>
  <w:style w:type="paragraph" w:customStyle="1" w:styleId="font6">
    <w:name w:val="font6"/>
    <w:basedOn w:val="Normal"/>
    <w:rsid w:val="00A43A1B"/>
    <w:pPr>
      <w:spacing w:before="100" w:beforeAutospacing="1" w:after="100" w:afterAutospacing="1"/>
      <w:jc w:val="left"/>
    </w:pPr>
    <w:rPr>
      <w:color w:val="000000"/>
      <w:sz w:val="20"/>
      <w:szCs w:val="20"/>
    </w:rPr>
  </w:style>
  <w:style w:type="paragraph" w:customStyle="1" w:styleId="xl65">
    <w:name w:val="xl65"/>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66">
    <w:name w:val="xl66"/>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67">
    <w:name w:val="xl67"/>
    <w:basedOn w:val="Normal"/>
    <w:rsid w:val="00A43A1B"/>
    <w:pPr>
      <w:spacing w:before="100" w:beforeAutospacing="1" w:after="100" w:afterAutospacing="1"/>
      <w:jc w:val="left"/>
      <w:textAlignment w:val="center"/>
    </w:pPr>
    <w:rPr>
      <w:sz w:val="24"/>
      <w:szCs w:val="24"/>
    </w:rPr>
  </w:style>
  <w:style w:type="paragraph" w:customStyle="1" w:styleId="xl68">
    <w:name w:val="xl68"/>
    <w:basedOn w:val="Normal"/>
    <w:rsid w:val="00A43A1B"/>
    <w:pPr>
      <w:pBdr>
        <w:top w:val="single" w:sz="8" w:space="0" w:color="auto"/>
        <w:left w:val="single" w:sz="4" w:space="0" w:color="auto"/>
        <w:bottom w:val="single" w:sz="8" w:space="0" w:color="auto"/>
        <w:right w:val="single" w:sz="4" w:space="0" w:color="auto"/>
      </w:pBdr>
      <w:shd w:val="clear" w:color="000000" w:fill="CCFFFF"/>
      <w:spacing w:before="100" w:beforeAutospacing="1" w:after="100" w:afterAutospacing="1"/>
      <w:jc w:val="left"/>
      <w:textAlignment w:val="center"/>
    </w:pPr>
    <w:rPr>
      <w:b/>
      <w:bCs/>
      <w:color w:val="000000"/>
      <w:sz w:val="24"/>
      <w:szCs w:val="24"/>
    </w:rPr>
  </w:style>
  <w:style w:type="paragraph" w:customStyle="1" w:styleId="xl69">
    <w:name w:val="xl69"/>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0">
    <w:name w:val="xl70"/>
    <w:basedOn w:val="Normal"/>
    <w:rsid w:val="00A43A1B"/>
    <w:pPr>
      <w:pBdr>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71">
    <w:name w:val="xl71"/>
    <w:basedOn w:val="Normal"/>
    <w:rsid w:val="00A43A1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color w:val="000000"/>
      <w:sz w:val="24"/>
      <w:szCs w:val="24"/>
    </w:rPr>
  </w:style>
  <w:style w:type="paragraph" w:customStyle="1" w:styleId="xl72">
    <w:name w:val="xl72"/>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3">
    <w:name w:val="xl73"/>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5">
    <w:name w:val="xl75"/>
    <w:basedOn w:val="Normal"/>
    <w:rsid w:val="00A43A1B"/>
    <w:pPr>
      <w:pBdr>
        <w:top w:val="single" w:sz="4" w:space="0" w:color="auto"/>
        <w:left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6">
    <w:name w:val="xl76"/>
    <w:basedOn w:val="Normal"/>
    <w:rsid w:val="00A43A1B"/>
    <w:pPr>
      <w:pBdr>
        <w:top w:val="single" w:sz="4" w:space="0" w:color="auto"/>
        <w:left w:val="single" w:sz="4" w:space="0" w:color="auto"/>
        <w:right w:val="single" w:sz="4" w:space="0" w:color="auto"/>
      </w:pBdr>
      <w:spacing w:before="100" w:beforeAutospacing="1" w:after="100" w:afterAutospacing="1"/>
      <w:jc w:val="left"/>
    </w:pPr>
    <w:rPr>
      <w:sz w:val="24"/>
      <w:szCs w:val="24"/>
    </w:rPr>
  </w:style>
  <w:style w:type="paragraph" w:customStyle="1" w:styleId="xl77">
    <w:name w:val="xl77"/>
    <w:basedOn w:val="Normal"/>
    <w:rsid w:val="00A43A1B"/>
    <w:pPr>
      <w:pBdr>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8">
    <w:name w:val="xl78"/>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9">
    <w:name w:val="xl79"/>
    <w:basedOn w:val="Normal"/>
    <w:rsid w:val="00A43A1B"/>
    <w:pPr>
      <w:spacing w:before="100" w:beforeAutospacing="1" w:after="100" w:afterAutospacing="1"/>
      <w:jc w:val="left"/>
    </w:pPr>
    <w:rPr>
      <w:sz w:val="24"/>
      <w:szCs w:val="24"/>
    </w:rPr>
  </w:style>
  <w:style w:type="paragraph" w:customStyle="1" w:styleId="xl80">
    <w:name w:val="xl80"/>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A43A1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2">
    <w:name w:val="xl82"/>
    <w:basedOn w:val="Normal"/>
    <w:rsid w:val="00A43A1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83">
    <w:name w:val="xl83"/>
    <w:basedOn w:val="Normal"/>
    <w:rsid w:val="00A43A1B"/>
    <w:pPr>
      <w:pBdr>
        <w:top w:val="single" w:sz="4" w:space="0" w:color="auto"/>
        <w:left w:val="single" w:sz="4" w:space="0" w:color="auto"/>
        <w:bottom w:val="single" w:sz="4" w:space="0" w:color="auto"/>
      </w:pBdr>
      <w:spacing w:before="100" w:beforeAutospacing="1" w:after="100" w:afterAutospacing="1"/>
      <w:jc w:val="left"/>
    </w:pPr>
    <w:rPr>
      <w:sz w:val="24"/>
      <w:szCs w:val="24"/>
    </w:rPr>
  </w:style>
  <w:style w:type="paragraph" w:customStyle="1" w:styleId="xl84">
    <w:name w:val="xl84"/>
    <w:basedOn w:val="Normal"/>
    <w:rsid w:val="00A43A1B"/>
    <w:pPr>
      <w:pBdr>
        <w:top w:val="single" w:sz="4" w:space="0" w:color="auto"/>
        <w:left w:val="single" w:sz="4" w:space="0" w:color="auto"/>
        <w:bottom w:val="single" w:sz="4" w:space="0" w:color="auto"/>
      </w:pBdr>
      <w:spacing w:before="100" w:beforeAutospacing="1" w:after="100" w:afterAutospacing="1"/>
      <w:jc w:val="left"/>
      <w:textAlignment w:val="center"/>
    </w:pPr>
    <w:rPr>
      <w:color w:val="000000"/>
      <w:sz w:val="24"/>
      <w:szCs w:val="24"/>
    </w:rPr>
  </w:style>
  <w:style w:type="paragraph" w:customStyle="1" w:styleId="xl85">
    <w:name w:val="xl85"/>
    <w:basedOn w:val="Normal"/>
    <w:rsid w:val="00A43A1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Default">
    <w:name w:val="Default"/>
    <w:rsid w:val="007D1A10"/>
    <w:pPr>
      <w:autoSpaceDE w:val="0"/>
      <w:autoSpaceDN w:val="0"/>
      <w:adjustRightInd w:val="0"/>
    </w:pPr>
    <w:rPr>
      <w:rFonts w:ascii="Arial" w:hAnsi="Arial" w:cs="Arial"/>
      <w:color w:val="000000"/>
      <w:sz w:val="24"/>
      <w:szCs w:val="24"/>
      <w:lang w:val="fr-FR" w:eastAsia="fr-FR"/>
    </w:rPr>
  </w:style>
  <w:style w:type="character" w:styleId="Strong">
    <w:name w:val="Strong"/>
    <w:uiPriority w:val="22"/>
    <w:qFormat/>
    <w:locked/>
    <w:rsid w:val="00B92B07"/>
    <w:rPr>
      <w:b/>
      <w:bCs/>
    </w:rPr>
  </w:style>
  <w:style w:type="paragraph" w:customStyle="1" w:styleId="StyleLeft0cm">
    <w:name w:val="Style Left:  0 cm"/>
    <w:basedOn w:val="Normal"/>
    <w:link w:val="StyleLeft0cmChar"/>
    <w:rsid w:val="00D801B0"/>
    <w:pPr>
      <w:spacing w:after="0"/>
      <w:jc w:val="left"/>
    </w:pPr>
    <w:rPr>
      <w:rFonts w:ascii="Arial" w:hAnsi="Arial"/>
      <w:noProof/>
      <w:szCs w:val="20"/>
      <w:lang w:val="da-DK" w:eastAsia="da-DK"/>
    </w:rPr>
  </w:style>
  <w:style w:type="character" w:customStyle="1" w:styleId="StyleLeft0cmChar">
    <w:name w:val="Style Left:  0 cm Char"/>
    <w:link w:val="StyleLeft0cm"/>
    <w:rsid w:val="00D801B0"/>
    <w:rPr>
      <w:rFonts w:ascii="Arial" w:hAnsi="Arial"/>
      <w:noProof/>
      <w:sz w:val="22"/>
      <w:lang w:val="da-DK" w:eastAsia="da-DK"/>
    </w:rPr>
  </w:style>
  <w:style w:type="paragraph" w:customStyle="1" w:styleId="Text">
    <w:name w:val="Text"/>
    <w:basedOn w:val="Normal"/>
    <w:link w:val="TextChar"/>
    <w:rsid w:val="00D801B0"/>
    <w:pPr>
      <w:spacing w:line="269" w:lineRule="auto"/>
      <w:jc w:val="left"/>
    </w:pPr>
    <w:rPr>
      <w:rFonts w:ascii="Arial" w:hAnsi="Arial" w:cs="Arial"/>
      <w:sz w:val="20"/>
      <w:lang w:eastAsia="zh-CN"/>
    </w:rPr>
  </w:style>
  <w:style w:type="character" w:customStyle="1" w:styleId="TextChar">
    <w:name w:val="Text Char"/>
    <w:link w:val="Text"/>
    <w:rsid w:val="00D801B0"/>
    <w:rPr>
      <w:rFonts w:ascii="Arial" w:hAnsi="Arial" w:cs="Arial"/>
      <w:szCs w:val="22"/>
      <w:lang w:eastAsia="zh-CN"/>
    </w:rPr>
  </w:style>
  <w:style w:type="paragraph" w:customStyle="1" w:styleId="CoverMainTitle">
    <w:name w:val="Cover Main Title"/>
    <w:basedOn w:val="Text"/>
    <w:rsid w:val="00D801B0"/>
    <w:pPr>
      <w:jc w:val="right"/>
    </w:pPr>
    <w:rPr>
      <w:color w:val="394A58"/>
      <w:sz w:val="44"/>
    </w:rPr>
  </w:style>
  <w:style w:type="paragraph" w:customStyle="1" w:styleId="CoverSubTitle">
    <w:name w:val="Cover Sub Title"/>
    <w:basedOn w:val="CoverMainTitle"/>
    <w:rsid w:val="00D801B0"/>
    <w:rPr>
      <w:sz w:val="32"/>
    </w:rPr>
  </w:style>
  <w:style w:type="paragraph" w:customStyle="1" w:styleId="QAText">
    <w:name w:val="QAText"/>
    <w:basedOn w:val="Normal"/>
    <w:rsid w:val="00D801B0"/>
    <w:pPr>
      <w:spacing w:before="120"/>
      <w:jc w:val="left"/>
    </w:pPr>
    <w:rPr>
      <w:rFonts w:ascii="Arial" w:hAnsi="Arial" w:cs="Arial"/>
      <w:sz w:val="20"/>
      <w:lang w:eastAsia="zh-CN"/>
    </w:rPr>
  </w:style>
  <w:style w:type="paragraph" w:customStyle="1" w:styleId="QAProjectTitle">
    <w:name w:val="QAProject Title"/>
    <w:basedOn w:val="Normal"/>
    <w:rsid w:val="00D801B0"/>
    <w:pPr>
      <w:spacing w:after="0"/>
      <w:jc w:val="center"/>
    </w:pPr>
    <w:rPr>
      <w:rFonts w:ascii="Arial" w:hAnsi="Arial" w:cs="Arial"/>
      <w:b/>
      <w:sz w:val="48"/>
      <w:lang w:eastAsia="zh-CN"/>
    </w:rPr>
  </w:style>
  <w:style w:type="paragraph" w:customStyle="1" w:styleId="DocHistory">
    <w:name w:val="DocHistory"/>
    <w:basedOn w:val="Normal"/>
    <w:rsid w:val="00D801B0"/>
    <w:pPr>
      <w:spacing w:line="269" w:lineRule="auto"/>
      <w:jc w:val="left"/>
    </w:pPr>
    <w:rPr>
      <w:rFonts w:ascii="Arial" w:hAnsi="Arial" w:cs="Arial"/>
      <w:b/>
      <w:sz w:val="24"/>
      <w:lang w:eastAsia="zh-CN"/>
    </w:rPr>
  </w:style>
  <w:style w:type="paragraph" w:styleId="BodyText">
    <w:name w:val="Body Text"/>
    <w:basedOn w:val="Normal"/>
    <w:link w:val="BodyTextChar"/>
    <w:rsid w:val="00D801B0"/>
    <w:pPr>
      <w:jc w:val="left"/>
    </w:pPr>
    <w:rPr>
      <w:rFonts w:ascii="Arial" w:hAnsi="Arial" w:cs="Arial"/>
      <w:sz w:val="20"/>
      <w:lang w:eastAsia="zh-CN"/>
    </w:rPr>
  </w:style>
  <w:style w:type="character" w:customStyle="1" w:styleId="BodyTextChar">
    <w:name w:val="Body Text Char"/>
    <w:link w:val="BodyText"/>
    <w:rsid w:val="00D801B0"/>
    <w:rPr>
      <w:rFonts w:ascii="Arial" w:hAnsi="Arial" w:cs="Arial"/>
      <w:szCs w:val="22"/>
      <w:lang w:eastAsia="zh-C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5954532">
      <w:bodyDiv w:val="1"/>
      <w:marLeft w:val="0"/>
      <w:marRight w:val="0"/>
      <w:marTop w:val="0"/>
      <w:marBottom w:val="0"/>
      <w:divBdr>
        <w:top w:val="none" w:sz="0" w:space="0" w:color="auto"/>
        <w:left w:val="none" w:sz="0" w:space="0" w:color="auto"/>
        <w:bottom w:val="none" w:sz="0" w:space="0" w:color="auto"/>
        <w:right w:val="none" w:sz="0" w:space="0" w:color="auto"/>
      </w:divBdr>
    </w:div>
    <w:div w:id="49694015">
      <w:bodyDiv w:val="1"/>
      <w:marLeft w:val="0"/>
      <w:marRight w:val="0"/>
      <w:marTop w:val="0"/>
      <w:marBottom w:val="0"/>
      <w:divBdr>
        <w:top w:val="none" w:sz="0" w:space="0" w:color="auto"/>
        <w:left w:val="none" w:sz="0" w:space="0" w:color="auto"/>
        <w:bottom w:val="none" w:sz="0" w:space="0" w:color="auto"/>
        <w:right w:val="none" w:sz="0" w:space="0" w:color="auto"/>
      </w:divBdr>
    </w:div>
    <w:div w:id="57672066">
      <w:marLeft w:val="0"/>
      <w:marRight w:val="0"/>
      <w:marTop w:val="0"/>
      <w:marBottom w:val="0"/>
      <w:divBdr>
        <w:top w:val="none" w:sz="0" w:space="0" w:color="auto"/>
        <w:left w:val="none" w:sz="0" w:space="0" w:color="auto"/>
        <w:bottom w:val="none" w:sz="0" w:space="0" w:color="auto"/>
        <w:right w:val="none" w:sz="0" w:space="0" w:color="auto"/>
      </w:divBdr>
    </w:div>
    <w:div w:id="57672067">
      <w:marLeft w:val="0"/>
      <w:marRight w:val="0"/>
      <w:marTop w:val="0"/>
      <w:marBottom w:val="0"/>
      <w:divBdr>
        <w:top w:val="none" w:sz="0" w:space="0" w:color="auto"/>
        <w:left w:val="none" w:sz="0" w:space="0" w:color="auto"/>
        <w:bottom w:val="none" w:sz="0" w:space="0" w:color="auto"/>
        <w:right w:val="none" w:sz="0" w:space="0" w:color="auto"/>
      </w:divBdr>
    </w:div>
    <w:div w:id="57672068">
      <w:marLeft w:val="0"/>
      <w:marRight w:val="0"/>
      <w:marTop w:val="0"/>
      <w:marBottom w:val="0"/>
      <w:divBdr>
        <w:top w:val="none" w:sz="0" w:space="0" w:color="auto"/>
        <w:left w:val="none" w:sz="0" w:space="0" w:color="auto"/>
        <w:bottom w:val="none" w:sz="0" w:space="0" w:color="auto"/>
        <w:right w:val="none" w:sz="0" w:space="0" w:color="auto"/>
      </w:divBdr>
    </w:div>
    <w:div w:id="57672069">
      <w:marLeft w:val="0"/>
      <w:marRight w:val="0"/>
      <w:marTop w:val="0"/>
      <w:marBottom w:val="0"/>
      <w:divBdr>
        <w:top w:val="none" w:sz="0" w:space="0" w:color="auto"/>
        <w:left w:val="none" w:sz="0" w:space="0" w:color="auto"/>
        <w:bottom w:val="none" w:sz="0" w:space="0" w:color="auto"/>
        <w:right w:val="none" w:sz="0" w:space="0" w:color="auto"/>
      </w:divBdr>
    </w:div>
    <w:div w:id="57672070">
      <w:marLeft w:val="0"/>
      <w:marRight w:val="0"/>
      <w:marTop w:val="0"/>
      <w:marBottom w:val="0"/>
      <w:divBdr>
        <w:top w:val="none" w:sz="0" w:space="0" w:color="auto"/>
        <w:left w:val="none" w:sz="0" w:space="0" w:color="auto"/>
        <w:bottom w:val="none" w:sz="0" w:space="0" w:color="auto"/>
        <w:right w:val="none" w:sz="0" w:space="0" w:color="auto"/>
      </w:divBdr>
    </w:div>
    <w:div w:id="132061310">
      <w:bodyDiv w:val="1"/>
      <w:marLeft w:val="0"/>
      <w:marRight w:val="0"/>
      <w:marTop w:val="0"/>
      <w:marBottom w:val="0"/>
      <w:divBdr>
        <w:top w:val="none" w:sz="0" w:space="0" w:color="auto"/>
        <w:left w:val="none" w:sz="0" w:space="0" w:color="auto"/>
        <w:bottom w:val="none" w:sz="0" w:space="0" w:color="auto"/>
        <w:right w:val="none" w:sz="0" w:space="0" w:color="auto"/>
      </w:divBdr>
    </w:div>
    <w:div w:id="138890577">
      <w:bodyDiv w:val="1"/>
      <w:marLeft w:val="0"/>
      <w:marRight w:val="0"/>
      <w:marTop w:val="0"/>
      <w:marBottom w:val="0"/>
      <w:divBdr>
        <w:top w:val="none" w:sz="0" w:space="0" w:color="auto"/>
        <w:left w:val="none" w:sz="0" w:space="0" w:color="auto"/>
        <w:bottom w:val="none" w:sz="0" w:space="0" w:color="auto"/>
        <w:right w:val="none" w:sz="0" w:space="0" w:color="auto"/>
      </w:divBdr>
    </w:div>
    <w:div w:id="144007837">
      <w:bodyDiv w:val="1"/>
      <w:marLeft w:val="0"/>
      <w:marRight w:val="0"/>
      <w:marTop w:val="0"/>
      <w:marBottom w:val="0"/>
      <w:divBdr>
        <w:top w:val="none" w:sz="0" w:space="0" w:color="auto"/>
        <w:left w:val="none" w:sz="0" w:space="0" w:color="auto"/>
        <w:bottom w:val="none" w:sz="0" w:space="0" w:color="auto"/>
        <w:right w:val="none" w:sz="0" w:space="0" w:color="auto"/>
      </w:divBdr>
      <w:divsChild>
        <w:div w:id="1854026229">
          <w:marLeft w:val="45"/>
          <w:marRight w:val="45"/>
          <w:marTop w:val="45"/>
          <w:marBottom w:val="45"/>
          <w:divBdr>
            <w:top w:val="single" w:sz="6" w:space="2" w:color="CCCCCC"/>
            <w:left w:val="single" w:sz="6" w:space="2" w:color="CCCCCC"/>
            <w:bottom w:val="single" w:sz="6" w:space="2" w:color="CCCCCC"/>
            <w:right w:val="single" w:sz="6" w:space="2" w:color="CCCCCC"/>
          </w:divBdr>
          <w:divsChild>
            <w:div w:id="1446659363">
              <w:marLeft w:val="0"/>
              <w:marRight w:val="0"/>
              <w:marTop w:val="0"/>
              <w:marBottom w:val="0"/>
              <w:divBdr>
                <w:top w:val="none" w:sz="0" w:space="0" w:color="auto"/>
                <w:left w:val="none" w:sz="0" w:space="0" w:color="auto"/>
                <w:bottom w:val="none" w:sz="0" w:space="0" w:color="auto"/>
                <w:right w:val="none" w:sz="0" w:space="0" w:color="auto"/>
              </w:divBdr>
              <w:divsChild>
                <w:div w:id="17974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93061">
      <w:bodyDiv w:val="1"/>
      <w:marLeft w:val="0"/>
      <w:marRight w:val="0"/>
      <w:marTop w:val="0"/>
      <w:marBottom w:val="0"/>
      <w:divBdr>
        <w:top w:val="none" w:sz="0" w:space="0" w:color="auto"/>
        <w:left w:val="none" w:sz="0" w:space="0" w:color="auto"/>
        <w:bottom w:val="none" w:sz="0" w:space="0" w:color="auto"/>
        <w:right w:val="none" w:sz="0" w:space="0" w:color="auto"/>
      </w:divBdr>
    </w:div>
    <w:div w:id="461850724">
      <w:bodyDiv w:val="1"/>
      <w:marLeft w:val="0"/>
      <w:marRight w:val="0"/>
      <w:marTop w:val="0"/>
      <w:marBottom w:val="0"/>
      <w:divBdr>
        <w:top w:val="none" w:sz="0" w:space="0" w:color="auto"/>
        <w:left w:val="none" w:sz="0" w:space="0" w:color="auto"/>
        <w:bottom w:val="none" w:sz="0" w:space="0" w:color="auto"/>
        <w:right w:val="none" w:sz="0" w:space="0" w:color="auto"/>
      </w:divBdr>
    </w:div>
    <w:div w:id="476458516">
      <w:bodyDiv w:val="1"/>
      <w:marLeft w:val="0"/>
      <w:marRight w:val="0"/>
      <w:marTop w:val="0"/>
      <w:marBottom w:val="0"/>
      <w:divBdr>
        <w:top w:val="none" w:sz="0" w:space="0" w:color="auto"/>
        <w:left w:val="none" w:sz="0" w:space="0" w:color="auto"/>
        <w:bottom w:val="none" w:sz="0" w:space="0" w:color="auto"/>
        <w:right w:val="none" w:sz="0" w:space="0" w:color="auto"/>
      </w:divBdr>
    </w:div>
    <w:div w:id="489635121">
      <w:bodyDiv w:val="1"/>
      <w:marLeft w:val="0"/>
      <w:marRight w:val="0"/>
      <w:marTop w:val="0"/>
      <w:marBottom w:val="0"/>
      <w:divBdr>
        <w:top w:val="none" w:sz="0" w:space="0" w:color="auto"/>
        <w:left w:val="none" w:sz="0" w:space="0" w:color="auto"/>
        <w:bottom w:val="none" w:sz="0" w:space="0" w:color="auto"/>
        <w:right w:val="none" w:sz="0" w:space="0" w:color="auto"/>
      </w:divBdr>
      <w:divsChild>
        <w:div w:id="517426181">
          <w:marLeft w:val="0"/>
          <w:marRight w:val="0"/>
          <w:marTop w:val="0"/>
          <w:marBottom w:val="0"/>
          <w:divBdr>
            <w:top w:val="none" w:sz="0" w:space="0" w:color="auto"/>
            <w:left w:val="none" w:sz="0" w:space="0" w:color="auto"/>
            <w:bottom w:val="none" w:sz="0" w:space="0" w:color="auto"/>
            <w:right w:val="none" w:sz="0" w:space="0" w:color="auto"/>
          </w:divBdr>
        </w:div>
      </w:divsChild>
    </w:div>
    <w:div w:id="646277569">
      <w:bodyDiv w:val="1"/>
      <w:marLeft w:val="0"/>
      <w:marRight w:val="0"/>
      <w:marTop w:val="0"/>
      <w:marBottom w:val="0"/>
      <w:divBdr>
        <w:top w:val="none" w:sz="0" w:space="0" w:color="auto"/>
        <w:left w:val="none" w:sz="0" w:space="0" w:color="auto"/>
        <w:bottom w:val="none" w:sz="0" w:space="0" w:color="auto"/>
        <w:right w:val="none" w:sz="0" w:space="0" w:color="auto"/>
      </w:divBdr>
    </w:div>
    <w:div w:id="646475562">
      <w:bodyDiv w:val="1"/>
      <w:marLeft w:val="0"/>
      <w:marRight w:val="0"/>
      <w:marTop w:val="0"/>
      <w:marBottom w:val="0"/>
      <w:divBdr>
        <w:top w:val="none" w:sz="0" w:space="0" w:color="auto"/>
        <w:left w:val="none" w:sz="0" w:space="0" w:color="auto"/>
        <w:bottom w:val="none" w:sz="0" w:space="0" w:color="auto"/>
        <w:right w:val="none" w:sz="0" w:space="0" w:color="auto"/>
      </w:divBdr>
    </w:div>
    <w:div w:id="653725689">
      <w:bodyDiv w:val="1"/>
      <w:marLeft w:val="0"/>
      <w:marRight w:val="0"/>
      <w:marTop w:val="0"/>
      <w:marBottom w:val="0"/>
      <w:divBdr>
        <w:top w:val="none" w:sz="0" w:space="0" w:color="auto"/>
        <w:left w:val="none" w:sz="0" w:space="0" w:color="auto"/>
        <w:bottom w:val="none" w:sz="0" w:space="0" w:color="auto"/>
        <w:right w:val="none" w:sz="0" w:space="0" w:color="auto"/>
      </w:divBdr>
    </w:div>
    <w:div w:id="678656851">
      <w:bodyDiv w:val="1"/>
      <w:marLeft w:val="0"/>
      <w:marRight w:val="0"/>
      <w:marTop w:val="0"/>
      <w:marBottom w:val="0"/>
      <w:divBdr>
        <w:top w:val="none" w:sz="0" w:space="0" w:color="auto"/>
        <w:left w:val="none" w:sz="0" w:space="0" w:color="auto"/>
        <w:bottom w:val="none" w:sz="0" w:space="0" w:color="auto"/>
        <w:right w:val="none" w:sz="0" w:space="0" w:color="auto"/>
      </w:divBdr>
    </w:div>
    <w:div w:id="740106382">
      <w:bodyDiv w:val="1"/>
      <w:marLeft w:val="0"/>
      <w:marRight w:val="0"/>
      <w:marTop w:val="0"/>
      <w:marBottom w:val="0"/>
      <w:divBdr>
        <w:top w:val="none" w:sz="0" w:space="0" w:color="auto"/>
        <w:left w:val="none" w:sz="0" w:space="0" w:color="auto"/>
        <w:bottom w:val="none" w:sz="0" w:space="0" w:color="auto"/>
        <w:right w:val="none" w:sz="0" w:space="0" w:color="auto"/>
      </w:divBdr>
    </w:div>
    <w:div w:id="750079413">
      <w:bodyDiv w:val="1"/>
      <w:marLeft w:val="0"/>
      <w:marRight w:val="0"/>
      <w:marTop w:val="0"/>
      <w:marBottom w:val="0"/>
      <w:divBdr>
        <w:top w:val="none" w:sz="0" w:space="0" w:color="auto"/>
        <w:left w:val="none" w:sz="0" w:space="0" w:color="auto"/>
        <w:bottom w:val="none" w:sz="0" w:space="0" w:color="auto"/>
        <w:right w:val="none" w:sz="0" w:space="0" w:color="auto"/>
      </w:divBdr>
    </w:div>
    <w:div w:id="756051939">
      <w:bodyDiv w:val="1"/>
      <w:marLeft w:val="0"/>
      <w:marRight w:val="0"/>
      <w:marTop w:val="0"/>
      <w:marBottom w:val="0"/>
      <w:divBdr>
        <w:top w:val="none" w:sz="0" w:space="0" w:color="auto"/>
        <w:left w:val="none" w:sz="0" w:space="0" w:color="auto"/>
        <w:bottom w:val="none" w:sz="0" w:space="0" w:color="auto"/>
        <w:right w:val="none" w:sz="0" w:space="0" w:color="auto"/>
      </w:divBdr>
      <w:divsChild>
        <w:div w:id="2077582238">
          <w:marLeft w:val="0"/>
          <w:marRight w:val="0"/>
          <w:marTop w:val="0"/>
          <w:marBottom w:val="0"/>
          <w:divBdr>
            <w:top w:val="none" w:sz="0" w:space="0" w:color="auto"/>
            <w:left w:val="none" w:sz="0" w:space="0" w:color="auto"/>
            <w:bottom w:val="none" w:sz="0" w:space="0" w:color="auto"/>
            <w:right w:val="none" w:sz="0" w:space="0" w:color="auto"/>
          </w:divBdr>
        </w:div>
      </w:divsChild>
    </w:div>
    <w:div w:id="757868089">
      <w:bodyDiv w:val="1"/>
      <w:marLeft w:val="0"/>
      <w:marRight w:val="0"/>
      <w:marTop w:val="0"/>
      <w:marBottom w:val="0"/>
      <w:divBdr>
        <w:top w:val="none" w:sz="0" w:space="0" w:color="auto"/>
        <w:left w:val="none" w:sz="0" w:space="0" w:color="auto"/>
        <w:bottom w:val="none" w:sz="0" w:space="0" w:color="auto"/>
        <w:right w:val="none" w:sz="0" w:space="0" w:color="auto"/>
      </w:divBdr>
    </w:div>
    <w:div w:id="800154334">
      <w:bodyDiv w:val="1"/>
      <w:marLeft w:val="0"/>
      <w:marRight w:val="0"/>
      <w:marTop w:val="0"/>
      <w:marBottom w:val="0"/>
      <w:divBdr>
        <w:top w:val="none" w:sz="0" w:space="0" w:color="auto"/>
        <w:left w:val="none" w:sz="0" w:space="0" w:color="auto"/>
        <w:bottom w:val="none" w:sz="0" w:space="0" w:color="auto"/>
        <w:right w:val="none" w:sz="0" w:space="0" w:color="auto"/>
      </w:divBdr>
    </w:div>
    <w:div w:id="989210200">
      <w:bodyDiv w:val="1"/>
      <w:marLeft w:val="0"/>
      <w:marRight w:val="0"/>
      <w:marTop w:val="0"/>
      <w:marBottom w:val="0"/>
      <w:divBdr>
        <w:top w:val="none" w:sz="0" w:space="0" w:color="auto"/>
        <w:left w:val="none" w:sz="0" w:space="0" w:color="auto"/>
        <w:bottom w:val="none" w:sz="0" w:space="0" w:color="auto"/>
        <w:right w:val="none" w:sz="0" w:space="0" w:color="auto"/>
      </w:divBdr>
    </w:div>
    <w:div w:id="1019620635">
      <w:bodyDiv w:val="1"/>
      <w:marLeft w:val="0"/>
      <w:marRight w:val="0"/>
      <w:marTop w:val="0"/>
      <w:marBottom w:val="0"/>
      <w:divBdr>
        <w:top w:val="none" w:sz="0" w:space="0" w:color="auto"/>
        <w:left w:val="none" w:sz="0" w:space="0" w:color="auto"/>
        <w:bottom w:val="none" w:sz="0" w:space="0" w:color="auto"/>
        <w:right w:val="none" w:sz="0" w:space="0" w:color="auto"/>
      </w:divBdr>
    </w:div>
    <w:div w:id="1222860450">
      <w:bodyDiv w:val="1"/>
      <w:marLeft w:val="0"/>
      <w:marRight w:val="0"/>
      <w:marTop w:val="0"/>
      <w:marBottom w:val="0"/>
      <w:divBdr>
        <w:top w:val="none" w:sz="0" w:space="0" w:color="auto"/>
        <w:left w:val="none" w:sz="0" w:space="0" w:color="auto"/>
        <w:bottom w:val="none" w:sz="0" w:space="0" w:color="auto"/>
        <w:right w:val="none" w:sz="0" w:space="0" w:color="auto"/>
      </w:divBdr>
    </w:div>
    <w:div w:id="1437560101">
      <w:bodyDiv w:val="1"/>
      <w:marLeft w:val="0"/>
      <w:marRight w:val="0"/>
      <w:marTop w:val="0"/>
      <w:marBottom w:val="0"/>
      <w:divBdr>
        <w:top w:val="none" w:sz="0" w:space="0" w:color="auto"/>
        <w:left w:val="none" w:sz="0" w:space="0" w:color="auto"/>
        <w:bottom w:val="none" w:sz="0" w:space="0" w:color="auto"/>
        <w:right w:val="none" w:sz="0" w:space="0" w:color="auto"/>
      </w:divBdr>
    </w:div>
    <w:div w:id="1440443567">
      <w:bodyDiv w:val="1"/>
      <w:marLeft w:val="0"/>
      <w:marRight w:val="0"/>
      <w:marTop w:val="0"/>
      <w:marBottom w:val="0"/>
      <w:divBdr>
        <w:top w:val="none" w:sz="0" w:space="0" w:color="auto"/>
        <w:left w:val="none" w:sz="0" w:space="0" w:color="auto"/>
        <w:bottom w:val="none" w:sz="0" w:space="0" w:color="auto"/>
        <w:right w:val="none" w:sz="0" w:space="0" w:color="auto"/>
      </w:divBdr>
    </w:div>
    <w:div w:id="1456412521">
      <w:bodyDiv w:val="1"/>
      <w:marLeft w:val="0"/>
      <w:marRight w:val="0"/>
      <w:marTop w:val="0"/>
      <w:marBottom w:val="0"/>
      <w:divBdr>
        <w:top w:val="none" w:sz="0" w:space="0" w:color="auto"/>
        <w:left w:val="none" w:sz="0" w:space="0" w:color="auto"/>
        <w:bottom w:val="none" w:sz="0" w:space="0" w:color="auto"/>
        <w:right w:val="none" w:sz="0" w:space="0" w:color="auto"/>
      </w:divBdr>
    </w:div>
    <w:div w:id="1457287848">
      <w:bodyDiv w:val="1"/>
      <w:marLeft w:val="0"/>
      <w:marRight w:val="0"/>
      <w:marTop w:val="0"/>
      <w:marBottom w:val="0"/>
      <w:divBdr>
        <w:top w:val="none" w:sz="0" w:space="0" w:color="auto"/>
        <w:left w:val="none" w:sz="0" w:space="0" w:color="auto"/>
        <w:bottom w:val="none" w:sz="0" w:space="0" w:color="auto"/>
        <w:right w:val="none" w:sz="0" w:space="0" w:color="auto"/>
      </w:divBdr>
    </w:div>
    <w:div w:id="1607468300">
      <w:bodyDiv w:val="1"/>
      <w:marLeft w:val="0"/>
      <w:marRight w:val="0"/>
      <w:marTop w:val="0"/>
      <w:marBottom w:val="0"/>
      <w:divBdr>
        <w:top w:val="none" w:sz="0" w:space="0" w:color="auto"/>
        <w:left w:val="none" w:sz="0" w:space="0" w:color="auto"/>
        <w:bottom w:val="none" w:sz="0" w:space="0" w:color="auto"/>
        <w:right w:val="none" w:sz="0" w:space="0" w:color="auto"/>
      </w:divBdr>
    </w:div>
    <w:div w:id="1615941751">
      <w:bodyDiv w:val="1"/>
      <w:marLeft w:val="0"/>
      <w:marRight w:val="0"/>
      <w:marTop w:val="0"/>
      <w:marBottom w:val="0"/>
      <w:divBdr>
        <w:top w:val="none" w:sz="0" w:space="0" w:color="auto"/>
        <w:left w:val="none" w:sz="0" w:space="0" w:color="auto"/>
        <w:bottom w:val="none" w:sz="0" w:space="0" w:color="auto"/>
        <w:right w:val="none" w:sz="0" w:space="0" w:color="auto"/>
      </w:divBdr>
    </w:div>
    <w:div w:id="1700233148">
      <w:bodyDiv w:val="1"/>
      <w:marLeft w:val="0"/>
      <w:marRight w:val="0"/>
      <w:marTop w:val="0"/>
      <w:marBottom w:val="0"/>
      <w:divBdr>
        <w:top w:val="none" w:sz="0" w:space="0" w:color="auto"/>
        <w:left w:val="none" w:sz="0" w:space="0" w:color="auto"/>
        <w:bottom w:val="none" w:sz="0" w:space="0" w:color="auto"/>
        <w:right w:val="none" w:sz="0" w:space="0" w:color="auto"/>
      </w:divBdr>
    </w:div>
    <w:div w:id="1709066934">
      <w:bodyDiv w:val="1"/>
      <w:marLeft w:val="0"/>
      <w:marRight w:val="0"/>
      <w:marTop w:val="0"/>
      <w:marBottom w:val="0"/>
      <w:divBdr>
        <w:top w:val="none" w:sz="0" w:space="0" w:color="auto"/>
        <w:left w:val="none" w:sz="0" w:space="0" w:color="auto"/>
        <w:bottom w:val="none" w:sz="0" w:space="0" w:color="auto"/>
        <w:right w:val="none" w:sz="0" w:space="0" w:color="auto"/>
      </w:divBdr>
    </w:div>
    <w:div w:id="1741098826">
      <w:marLeft w:val="0"/>
      <w:marRight w:val="0"/>
      <w:marTop w:val="0"/>
      <w:marBottom w:val="0"/>
      <w:divBdr>
        <w:top w:val="none" w:sz="0" w:space="0" w:color="auto"/>
        <w:left w:val="none" w:sz="0" w:space="0" w:color="auto"/>
        <w:bottom w:val="none" w:sz="0" w:space="0" w:color="auto"/>
        <w:right w:val="none" w:sz="0" w:space="0" w:color="auto"/>
      </w:divBdr>
    </w:div>
    <w:div w:id="1741098827">
      <w:marLeft w:val="0"/>
      <w:marRight w:val="0"/>
      <w:marTop w:val="0"/>
      <w:marBottom w:val="0"/>
      <w:divBdr>
        <w:top w:val="none" w:sz="0" w:space="0" w:color="auto"/>
        <w:left w:val="none" w:sz="0" w:space="0" w:color="auto"/>
        <w:bottom w:val="none" w:sz="0" w:space="0" w:color="auto"/>
        <w:right w:val="none" w:sz="0" w:space="0" w:color="auto"/>
      </w:divBdr>
    </w:div>
    <w:div w:id="1741098828">
      <w:marLeft w:val="0"/>
      <w:marRight w:val="0"/>
      <w:marTop w:val="0"/>
      <w:marBottom w:val="0"/>
      <w:divBdr>
        <w:top w:val="none" w:sz="0" w:space="0" w:color="auto"/>
        <w:left w:val="none" w:sz="0" w:space="0" w:color="auto"/>
        <w:bottom w:val="none" w:sz="0" w:space="0" w:color="auto"/>
        <w:right w:val="none" w:sz="0" w:space="0" w:color="auto"/>
      </w:divBdr>
    </w:div>
    <w:div w:id="1741098829">
      <w:marLeft w:val="0"/>
      <w:marRight w:val="0"/>
      <w:marTop w:val="0"/>
      <w:marBottom w:val="0"/>
      <w:divBdr>
        <w:top w:val="none" w:sz="0" w:space="0" w:color="auto"/>
        <w:left w:val="none" w:sz="0" w:space="0" w:color="auto"/>
        <w:bottom w:val="none" w:sz="0" w:space="0" w:color="auto"/>
        <w:right w:val="none" w:sz="0" w:space="0" w:color="auto"/>
      </w:divBdr>
    </w:div>
    <w:div w:id="1741098830">
      <w:marLeft w:val="0"/>
      <w:marRight w:val="0"/>
      <w:marTop w:val="0"/>
      <w:marBottom w:val="0"/>
      <w:divBdr>
        <w:top w:val="none" w:sz="0" w:space="0" w:color="auto"/>
        <w:left w:val="none" w:sz="0" w:space="0" w:color="auto"/>
        <w:bottom w:val="none" w:sz="0" w:space="0" w:color="auto"/>
        <w:right w:val="none" w:sz="0" w:space="0" w:color="auto"/>
      </w:divBdr>
    </w:div>
    <w:div w:id="1816485608">
      <w:bodyDiv w:val="1"/>
      <w:marLeft w:val="0"/>
      <w:marRight w:val="0"/>
      <w:marTop w:val="0"/>
      <w:marBottom w:val="0"/>
      <w:divBdr>
        <w:top w:val="none" w:sz="0" w:space="0" w:color="auto"/>
        <w:left w:val="none" w:sz="0" w:space="0" w:color="auto"/>
        <w:bottom w:val="none" w:sz="0" w:space="0" w:color="auto"/>
        <w:right w:val="none" w:sz="0" w:space="0" w:color="auto"/>
      </w:divBdr>
    </w:div>
    <w:div w:id="1855723928">
      <w:bodyDiv w:val="1"/>
      <w:marLeft w:val="0"/>
      <w:marRight w:val="0"/>
      <w:marTop w:val="0"/>
      <w:marBottom w:val="0"/>
      <w:divBdr>
        <w:top w:val="none" w:sz="0" w:space="0" w:color="auto"/>
        <w:left w:val="none" w:sz="0" w:space="0" w:color="auto"/>
        <w:bottom w:val="none" w:sz="0" w:space="0" w:color="auto"/>
        <w:right w:val="none" w:sz="0" w:space="0" w:color="auto"/>
      </w:divBdr>
    </w:div>
    <w:div w:id="1946838043">
      <w:bodyDiv w:val="1"/>
      <w:marLeft w:val="0"/>
      <w:marRight w:val="0"/>
      <w:marTop w:val="0"/>
      <w:marBottom w:val="0"/>
      <w:divBdr>
        <w:top w:val="none" w:sz="0" w:space="0" w:color="auto"/>
        <w:left w:val="none" w:sz="0" w:space="0" w:color="auto"/>
        <w:bottom w:val="none" w:sz="0" w:space="0" w:color="auto"/>
        <w:right w:val="none" w:sz="0" w:space="0" w:color="auto"/>
      </w:divBdr>
    </w:div>
    <w:div w:id="21408309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cdrtest.eionet.europa.eu/dk/eu/colvxbjjq/" TargetMode="External"/><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r.eionet.europa.eu"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cdrtest.eionet.europa.eu/dk/eu/colvxbjjq/"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icm.eionet.europa.eu/schemas/dir200856ec/resources2015"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7690-48D7-43D6-9D11-89A4FEE5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1381</Words>
  <Characters>7458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Reporting on MSFD Art. 13 and 14 - Webform guide</vt:lpstr>
      <vt:lpstr>Reporting on MSFD Art. 13 (PoMs) and 14 (exceptions)</vt:lpstr>
    </vt:vector>
  </TitlesOfParts>
  <Company>Atkins</Company>
  <LinksUpToDate>false</LinksUpToDate>
  <CharactersWithSpaces>8822</CharactersWithSpaces>
  <SharedDoc>false</SharedDoc>
  <HLinks>
    <vt:vector size="78" baseType="variant">
      <vt:variant>
        <vt:i4>4456537</vt:i4>
      </vt:variant>
      <vt:variant>
        <vt:i4>66</vt:i4>
      </vt:variant>
      <vt:variant>
        <vt:i4>0</vt:i4>
      </vt:variant>
      <vt:variant>
        <vt:i4>5</vt:i4>
      </vt:variant>
      <vt:variant>
        <vt:lpwstr>http://cdrtest.eionet.europa.eu/dk/eu/colvxbjjq/</vt:lpwstr>
      </vt:variant>
      <vt:variant>
        <vt:lpwstr/>
      </vt:variant>
      <vt:variant>
        <vt:i4>4849676</vt:i4>
      </vt:variant>
      <vt:variant>
        <vt:i4>63</vt:i4>
      </vt:variant>
      <vt:variant>
        <vt:i4>0</vt:i4>
      </vt:variant>
      <vt:variant>
        <vt:i4>5</vt:i4>
      </vt:variant>
      <vt:variant>
        <vt:lpwstr>http://cdr.eionet.europa.eu/</vt:lpwstr>
      </vt:variant>
      <vt:variant>
        <vt:lpwstr/>
      </vt:variant>
      <vt:variant>
        <vt:i4>4456537</vt:i4>
      </vt:variant>
      <vt:variant>
        <vt:i4>60</vt:i4>
      </vt:variant>
      <vt:variant>
        <vt:i4>0</vt:i4>
      </vt:variant>
      <vt:variant>
        <vt:i4>5</vt:i4>
      </vt:variant>
      <vt:variant>
        <vt:lpwstr>http://cdrtest.eionet.europa.eu/dk/eu/colvxbjjq/</vt:lpwstr>
      </vt:variant>
      <vt:variant>
        <vt:lpwstr/>
      </vt:variant>
      <vt:variant>
        <vt:i4>1900561</vt:i4>
      </vt:variant>
      <vt:variant>
        <vt:i4>57</vt:i4>
      </vt:variant>
      <vt:variant>
        <vt:i4>0</vt:i4>
      </vt:variant>
      <vt:variant>
        <vt:i4>5</vt:i4>
      </vt:variant>
      <vt:variant>
        <vt:lpwstr>http://icm.eionet.europa.eu/schemas/dir200856ec/resources2015</vt:lpwstr>
      </vt:variant>
      <vt:variant>
        <vt:lpwstr/>
      </vt:variant>
      <vt:variant>
        <vt:i4>1572914</vt:i4>
      </vt:variant>
      <vt:variant>
        <vt:i4>50</vt:i4>
      </vt:variant>
      <vt:variant>
        <vt:i4>0</vt:i4>
      </vt:variant>
      <vt:variant>
        <vt:i4>5</vt:i4>
      </vt:variant>
      <vt:variant>
        <vt:lpwstr/>
      </vt:variant>
      <vt:variant>
        <vt:lpwstr>_Toc431801751</vt:lpwstr>
      </vt:variant>
      <vt:variant>
        <vt:i4>1572914</vt:i4>
      </vt:variant>
      <vt:variant>
        <vt:i4>44</vt:i4>
      </vt:variant>
      <vt:variant>
        <vt:i4>0</vt:i4>
      </vt:variant>
      <vt:variant>
        <vt:i4>5</vt:i4>
      </vt:variant>
      <vt:variant>
        <vt:lpwstr/>
      </vt:variant>
      <vt:variant>
        <vt:lpwstr>_Toc431801750</vt:lpwstr>
      </vt:variant>
      <vt:variant>
        <vt:i4>1638450</vt:i4>
      </vt:variant>
      <vt:variant>
        <vt:i4>38</vt:i4>
      </vt:variant>
      <vt:variant>
        <vt:i4>0</vt:i4>
      </vt:variant>
      <vt:variant>
        <vt:i4>5</vt:i4>
      </vt:variant>
      <vt:variant>
        <vt:lpwstr/>
      </vt:variant>
      <vt:variant>
        <vt:lpwstr>_Toc431801749</vt:lpwstr>
      </vt:variant>
      <vt:variant>
        <vt:i4>1638450</vt:i4>
      </vt:variant>
      <vt:variant>
        <vt:i4>32</vt:i4>
      </vt:variant>
      <vt:variant>
        <vt:i4>0</vt:i4>
      </vt:variant>
      <vt:variant>
        <vt:i4>5</vt:i4>
      </vt:variant>
      <vt:variant>
        <vt:lpwstr/>
      </vt:variant>
      <vt:variant>
        <vt:lpwstr>_Toc431801748</vt:lpwstr>
      </vt:variant>
      <vt:variant>
        <vt:i4>1638450</vt:i4>
      </vt:variant>
      <vt:variant>
        <vt:i4>26</vt:i4>
      </vt:variant>
      <vt:variant>
        <vt:i4>0</vt:i4>
      </vt:variant>
      <vt:variant>
        <vt:i4>5</vt:i4>
      </vt:variant>
      <vt:variant>
        <vt:lpwstr/>
      </vt:variant>
      <vt:variant>
        <vt:lpwstr>_Toc431801747</vt:lpwstr>
      </vt:variant>
      <vt:variant>
        <vt:i4>1638450</vt:i4>
      </vt:variant>
      <vt:variant>
        <vt:i4>20</vt:i4>
      </vt:variant>
      <vt:variant>
        <vt:i4>0</vt:i4>
      </vt:variant>
      <vt:variant>
        <vt:i4>5</vt:i4>
      </vt:variant>
      <vt:variant>
        <vt:lpwstr/>
      </vt:variant>
      <vt:variant>
        <vt:lpwstr>_Toc431801746</vt:lpwstr>
      </vt:variant>
      <vt:variant>
        <vt:i4>1638450</vt:i4>
      </vt:variant>
      <vt:variant>
        <vt:i4>14</vt:i4>
      </vt:variant>
      <vt:variant>
        <vt:i4>0</vt:i4>
      </vt:variant>
      <vt:variant>
        <vt:i4>5</vt:i4>
      </vt:variant>
      <vt:variant>
        <vt:lpwstr/>
      </vt:variant>
      <vt:variant>
        <vt:lpwstr>_Toc431801745</vt:lpwstr>
      </vt:variant>
      <vt:variant>
        <vt:i4>1638450</vt:i4>
      </vt:variant>
      <vt:variant>
        <vt:i4>8</vt:i4>
      </vt:variant>
      <vt:variant>
        <vt:i4>0</vt:i4>
      </vt:variant>
      <vt:variant>
        <vt:i4>5</vt:i4>
      </vt:variant>
      <vt:variant>
        <vt:lpwstr/>
      </vt:variant>
      <vt:variant>
        <vt:lpwstr>_Toc431801744</vt:lpwstr>
      </vt:variant>
      <vt:variant>
        <vt:i4>1638450</vt:i4>
      </vt:variant>
      <vt:variant>
        <vt:i4>2</vt:i4>
      </vt:variant>
      <vt:variant>
        <vt:i4>0</vt:i4>
      </vt:variant>
      <vt:variant>
        <vt:i4>5</vt:i4>
      </vt:variant>
      <vt:variant>
        <vt:lpwstr/>
      </vt:variant>
      <vt:variant>
        <vt:lpwstr>_Toc431801743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on MSFD Art. 13 and 14 - Webform guide</dc:title>
  <dc:subject>MSFD</dc:subject>
  <dc:creator>Jesper Schmidt</dc:creator>
  <cp:lastModifiedBy>theo</cp:lastModifiedBy>
  <cp:revision>2</cp:revision>
  <cp:lastPrinted>2015-09-24T06:35:00Z</cp:lastPrinted>
  <dcterms:created xsi:type="dcterms:W3CDTF">2015-10-18T02:07:00Z</dcterms:created>
  <dcterms:modified xsi:type="dcterms:W3CDTF">2015-10-18T02:07:00Z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-2014673991</vt:i4>
  </property>
  <property fmtid="{D5CDD505-2E9C-101B-9397-08002B2CF9AE}" pid="3" name="_NewReviewCycle">
    <vt:lpwstr/>
  </property>
</Properties>
</file>